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40" w:rsidRDefault="00F32A40" w:rsidP="00F32A40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Информация для отправки субъектам предпринимательства</w:t>
      </w:r>
    </w:p>
    <w:p w:rsidR="00F32A40" w:rsidRDefault="00F32A40" w:rsidP="00F32A40">
      <w:pPr>
        <w:ind w:firstLine="709"/>
        <w:jc w:val="center"/>
        <w:rPr>
          <w:sz w:val="26"/>
          <w:szCs w:val="26"/>
        </w:rPr>
      </w:pP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 xml:space="preserve">В рамках формирования Национальной гарантийной системы </w:t>
      </w:r>
      <w:r w:rsidR="00D42B14">
        <w:rPr>
          <w:sz w:val="26"/>
          <w:szCs w:val="26"/>
        </w:rPr>
        <w:br/>
      </w:r>
      <w:r w:rsidR="00D42B14" w:rsidRPr="00A53AE7">
        <w:rPr>
          <w:sz w:val="26"/>
          <w:szCs w:val="26"/>
        </w:rPr>
        <w:t>АО «Федеральная корпорация по развитию малого и среднего предпринимательства» (далее – АО «Корпорация МСП»)</w:t>
      </w:r>
      <w:r w:rsidRPr="00A53AE7">
        <w:rPr>
          <w:sz w:val="26"/>
          <w:szCs w:val="26"/>
        </w:rPr>
        <w:t xml:space="preserve"> разработана и внедрена трехуровневая целевая модель оказания гарантийной поддержки СМСП: </w:t>
      </w:r>
      <w:bookmarkStart w:id="0" w:name="_GoBack"/>
      <w:bookmarkEnd w:id="0"/>
      <w:r w:rsidRPr="00A53AE7">
        <w:rPr>
          <w:sz w:val="26"/>
          <w:szCs w:val="26"/>
        </w:rPr>
        <w:t xml:space="preserve">АО «Корпорация «МСП» / АО «МСП Банк» / региональные гарантийные организации. </w:t>
      </w: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 xml:space="preserve">Независимые гарантии АО «Корпорация МСП» предоставляются на реализацию крупных и средних проектов на срок до 15 лет, размер гарантийного обеспечения – до 50% от суммы обязательств заемщика по договору с банком. Вознаграждение за гарантию составляет 1,25% годовых за весь срок действия гарантии. Работа по выдаче гарантий осуществляется через уполномоченные банки-партнеры АО «Корпорация МСП». Полный перечень банков-партнеров, а также подробная информация о гарантийных продуктах АО «Корпорация МСП» размещена на официальном сайте </w:t>
      </w:r>
      <w:r>
        <w:rPr>
          <w:sz w:val="26"/>
          <w:szCs w:val="26"/>
        </w:rPr>
        <w:t>общества</w:t>
      </w:r>
      <w:r w:rsidRPr="00A53AE7">
        <w:rPr>
          <w:sz w:val="26"/>
          <w:szCs w:val="26"/>
        </w:rPr>
        <w:t xml:space="preserve"> по адресу: </w:t>
      </w:r>
      <w:hyperlink r:id="rId4" w:history="1">
        <w:r w:rsidRPr="00A53AE7">
          <w:rPr>
            <w:rStyle w:val="a3"/>
            <w:sz w:val="26"/>
            <w:szCs w:val="26"/>
          </w:rPr>
          <w:t>http://corpmsp.ru/finansovaya-podderzhka/garantiynaya-podderzhka-subektov-msp-ngs/</w:t>
        </w:r>
      </w:hyperlink>
      <w:r w:rsidRPr="00A53AE7">
        <w:rPr>
          <w:sz w:val="26"/>
          <w:szCs w:val="26"/>
        </w:rPr>
        <w:t>.</w:t>
      </w:r>
    </w:p>
    <w:p w:rsidR="0014515C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 xml:space="preserve">АО «МСП Банк» предоставляет ряд гарантийных продуктов, ориентированных на обеспечение исполнения субъектами малого предпринимательства кредитных обязательств по договорам банковского кредитования (прямые гарантии). </w:t>
      </w:r>
      <w:r>
        <w:rPr>
          <w:sz w:val="26"/>
          <w:szCs w:val="26"/>
        </w:rPr>
        <w:t>Полный каталог гарантийных</w:t>
      </w:r>
      <w:r w:rsidRPr="00A53AE7">
        <w:rPr>
          <w:sz w:val="26"/>
          <w:szCs w:val="26"/>
        </w:rPr>
        <w:t xml:space="preserve"> продуктов с условиями предоставления и требованиями к заявителям, а также список аккредитованных банков-партнеров размещены на официальном сайте АО «МСП Банк» по адресу:</w:t>
      </w:r>
      <w:r>
        <w:rPr>
          <w:sz w:val="26"/>
          <w:szCs w:val="26"/>
        </w:rPr>
        <w:t xml:space="preserve"> </w:t>
      </w:r>
    </w:p>
    <w:p w:rsidR="0014515C" w:rsidRPr="00A53AE7" w:rsidRDefault="00280082" w:rsidP="0014515C">
      <w:pPr>
        <w:jc w:val="both"/>
        <w:rPr>
          <w:sz w:val="26"/>
          <w:szCs w:val="26"/>
        </w:rPr>
      </w:pPr>
      <w:hyperlink r:id="rId5" w:history="1">
        <w:r w:rsidR="0014515C" w:rsidRPr="00A53AE7">
          <w:rPr>
            <w:rStyle w:val="a3"/>
            <w:sz w:val="26"/>
            <w:szCs w:val="26"/>
          </w:rPr>
          <w:t>https://www.mspbank.ru/Predprinimatelyam/Garantiynaya_podderzhka_ot_NGS</w:t>
        </w:r>
      </w:hyperlink>
      <w:r w:rsidR="0014515C" w:rsidRPr="00A53AE7">
        <w:rPr>
          <w:sz w:val="26"/>
          <w:szCs w:val="26"/>
        </w:rPr>
        <w:t>.</w:t>
      </w: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>Гарантийную поддержку на региональном уровне осуществляет некоммерческая организация «Алтайский гарантийный фонд» (далее – НО «АГФ»). В случае недостаточности у СМСП залогового обеспечения НО «АГФ» предоставляет поручительства по кредитам, оформляемым в банках-партнерах НО «АГФ». Для СМСП, осуществляющих деятельность в сфере реального сектора экономики,  реализующих инвестиционные проекты, финансовое поручительство предоставляется в размере до 70 % от суммы кредита и в сумме до 25 млн. рублей. Для остальных СМСП размер поручительства может составлять до 50 % от суммы кредита,  а в рублевом эквиваленте достигать 10 млн. рублей. Комиссия за предоставление поручительства взимается в размере 0,1% от суммы поручительства для  СМСП не</w:t>
      </w:r>
      <w:r>
        <w:rPr>
          <w:sz w:val="26"/>
          <w:szCs w:val="26"/>
        </w:rPr>
        <w:t xml:space="preserve">торговых сфер (для </w:t>
      </w:r>
      <w:r w:rsidRPr="00A53AE7">
        <w:rPr>
          <w:sz w:val="26"/>
          <w:szCs w:val="26"/>
        </w:rPr>
        <w:t xml:space="preserve">оптовой и розничной торговли </w:t>
      </w:r>
      <w:r>
        <w:rPr>
          <w:sz w:val="26"/>
          <w:szCs w:val="26"/>
        </w:rPr>
        <w:t>– 1 </w:t>
      </w:r>
      <w:r w:rsidRPr="00A53AE7">
        <w:rPr>
          <w:sz w:val="26"/>
          <w:szCs w:val="26"/>
        </w:rPr>
        <w:t>% от суммы поручительства</w:t>
      </w:r>
      <w:r>
        <w:rPr>
          <w:sz w:val="26"/>
          <w:szCs w:val="26"/>
        </w:rPr>
        <w:t>)</w:t>
      </w:r>
      <w:r w:rsidRPr="00A53AE7">
        <w:rPr>
          <w:sz w:val="26"/>
          <w:szCs w:val="26"/>
        </w:rPr>
        <w:t xml:space="preserve">. По состоянию на </w:t>
      </w:r>
      <w:r>
        <w:rPr>
          <w:sz w:val="26"/>
          <w:szCs w:val="26"/>
        </w:rPr>
        <w:t>17</w:t>
      </w:r>
      <w:r w:rsidRPr="00A53AE7">
        <w:rPr>
          <w:sz w:val="26"/>
          <w:szCs w:val="26"/>
        </w:rPr>
        <w:t>.08.2016 партнерами Фонда выступает 21 кредитное учреждение. Информация о перечне банков-партнеров фонда, а также об условиях предоставления поручительства размещена на официальном сайте Фонда</w:t>
      </w:r>
      <w:r>
        <w:rPr>
          <w:sz w:val="26"/>
          <w:szCs w:val="26"/>
        </w:rPr>
        <w:t xml:space="preserve"> по адресу: </w:t>
      </w:r>
      <w:hyperlink r:id="rId6" w:history="1">
        <w:r w:rsidRPr="00A53AE7">
          <w:rPr>
            <w:rStyle w:val="a3"/>
            <w:sz w:val="26"/>
            <w:szCs w:val="26"/>
          </w:rPr>
          <w:t>http://www.altfond.ru/agf/</w:t>
        </w:r>
      </w:hyperlink>
      <w:r w:rsidRPr="00A53AE7">
        <w:rPr>
          <w:sz w:val="26"/>
          <w:szCs w:val="26"/>
        </w:rPr>
        <w:t>.</w:t>
      </w: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 xml:space="preserve">Наряду с предоставлением независимых гарантий АО «Корпорация МСП» совместно с Банком России и уполномоченными банками-партнерами реализует Программу стимулирования кредитования субъектов МСП (далее – «Программа»), осуществляющих реализацию проектов в следующих приоритетных отраслях: сельское хозяйство и предоставление услуг в этой области, обрабатывающие производства (в том числе производство пищевых продуктов, первичная и последующая переработка с/х продуктов), производство и распределение электроэнергии, газа и воды, строительство, транспорт и связь. </w:t>
      </w: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lastRenderedPageBreak/>
        <w:t xml:space="preserve">Программой утверждены процентные ставки по кредитам для субъектов малого бизнеса на уровне </w:t>
      </w:r>
      <w:r w:rsidRPr="00A53AE7">
        <w:rPr>
          <w:b/>
          <w:sz w:val="26"/>
          <w:szCs w:val="26"/>
        </w:rPr>
        <w:t>11%</w:t>
      </w:r>
      <w:r w:rsidRPr="00A53AE7">
        <w:rPr>
          <w:sz w:val="26"/>
          <w:szCs w:val="26"/>
        </w:rPr>
        <w:t xml:space="preserve"> годовых, для субъектов среднего бизнеса – </w:t>
      </w:r>
      <w:r w:rsidRPr="00A53AE7">
        <w:rPr>
          <w:b/>
          <w:sz w:val="26"/>
          <w:szCs w:val="26"/>
        </w:rPr>
        <w:t>10%</w:t>
      </w:r>
      <w:r w:rsidRPr="00A53AE7">
        <w:rPr>
          <w:sz w:val="26"/>
          <w:szCs w:val="26"/>
        </w:rPr>
        <w:t xml:space="preserve"> годовых. Минимальная сумма кредита – </w:t>
      </w:r>
      <w:r w:rsidRPr="00A53AE7">
        <w:rPr>
          <w:b/>
          <w:sz w:val="26"/>
          <w:szCs w:val="26"/>
        </w:rPr>
        <w:t>50 млн. рублей</w:t>
      </w:r>
      <w:r w:rsidRPr="00A53AE7">
        <w:rPr>
          <w:sz w:val="26"/>
          <w:szCs w:val="26"/>
        </w:rPr>
        <w:t>, цели кредитования предполагают как инвестиционное, так и оборотное  финансирование. Перечень банков, аккредитованных для работы по Программе, а также подробная информация об условиях получения льготных кредитов, размещены по адресу</w:t>
      </w:r>
      <w:r>
        <w:rPr>
          <w:sz w:val="26"/>
          <w:szCs w:val="26"/>
        </w:rPr>
        <w:t>:</w:t>
      </w:r>
      <w:r w:rsidRPr="00A53AE7">
        <w:rPr>
          <w:sz w:val="26"/>
          <w:szCs w:val="26"/>
        </w:rPr>
        <w:t xml:space="preserve"> </w:t>
      </w:r>
      <w:hyperlink r:id="rId7" w:history="1">
        <w:r w:rsidRPr="00A53AE7">
          <w:rPr>
            <w:rStyle w:val="a3"/>
            <w:sz w:val="26"/>
            <w:szCs w:val="26"/>
          </w:rPr>
          <w:t>http://corpmsp.ru/bankam/programma_stimulir/</w:t>
        </w:r>
      </w:hyperlink>
      <w:r w:rsidRPr="00A53AE7">
        <w:rPr>
          <w:sz w:val="26"/>
          <w:szCs w:val="26"/>
        </w:rPr>
        <w:t>.</w:t>
      </w:r>
    </w:p>
    <w:p w:rsidR="0014515C" w:rsidRPr="00A53AE7" w:rsidRDefault="0014515C" w:rsidP="0014515C">
      <w:pPr>
        <w:ind w:firstLine="709"/>
        <w:jc w:val="both"/>
        <w:rPr>
          <w:sz w:val="26"/>
          <w:szCs w:val="26"/>
        </w:rPr>
      </w:pPr>
      <w:r w:rsidRPr="00A53AE7">
        <w:rPr>
          <w:sz w:val="26"/>
          <w:szCs w:val="26"/>
        </w:rPr>
        <w:t>Кроме того, на краевом уровне НО «АГФ» и Краевой коммерческий Сибирский Социальный Банк</w:t>
      </w:r>
      <w:r>
        <w:rPr>
          <w:sz w:val="26"/>
          <w:szCs w:val="26"/>
        </w:rPr>
        <w:t xml:space="preserve"> (далее – «СИБСОЦБАНК» ООО)</w:t>
      </w:r>
      <w:r w:rsidRPr="00A53AE7">
        <w:rPr>
          <w:sz w:val="26"/>
          <w:szCs w:val="26"/>
        </w:rPr>
        <w:t xml:space="preserve"> заключили соглашение о реализации Программы стимулирования кредитования СМСП «Гарантия развития». В рамках «Гарантии развития» предусмотрено предоставление кредитных ресурсов банка под поручительство НО «АГФ» на срок </w:t>
      </w:r>
      <w:r w:rsidRPr="00463D84">
        <w:rPr>
          <w:b/>
          <w:sz w:val="26"/>
          <w:szCs w:val="26"/>
        </w:rPr>
        <w:t>до 3 лет</w:t>
      </w:r>
      <w:r w:rsidRPr="00A53AE7">
        <w:rPr>
          <w:sz w:val="26"/>
          <w:szCs w:val="26"/>
        </w:rPr>
        <w:t xml:space="preserve"> и в сумме </w:t>
      </w:r>
      <w:r w:rsidRPr="00463D84">
        <w:rPr>
          <w:b/>
          <w:sz w:val="26"/>
          <w:szCs w:val="26"/>
        </w:rPr>
        <w:t>от 1 млн. рублей до 10 млн. рублей</w:t>
      </w:r>
      <w:r w:rsidRPr="00A53AE7">
        <w:rPr>
          <w:sz w:val="26"/>
          <w:szCs w:val="26"/>
        </w:rPr>
        <w:t xml:space="preserve"> по фиксированной ставке </w:t>
      </w:r>
      <w:r w:rsidRPr="00463D84">
        <w:rPr>
          <w:b/>
          <w:sz w:val="26"/>
          <w:szCs w:val="26"/>
        </w:rPr>
        <w:t>11%</w:t>
      </w:r>
      <w:r w:rsidRPr="00A53AE7">
        <w:rPr>
          <w:sz w:val="26"/>
          <w:szCs w:val="26"/>
        </w:rPr>
        <w:t xml:space="preserve"> годовых. Участниками программы могут быть </w:t>
      </w:r>
      <w:r>
        <w:rPr>
          <w:sz w:val="26"/>
          <w:szCs w:val="26"/>
        </w:rPr>
        <w:t>СМСП</w:t>
      </w:r>
      <w:r w:rsidRPr="00A53AE7">
        <w:rPr>
          <w:sz w:val="26"/>
          <w:szCs w:val="26"/>
        </w:rPr>
        <w:t>, осуществляющие деятельность по следующим приоритетным направлениям: обрабатывающие производства, переработка сельскохозяйственной продукции, строительство и производство стро</w:t>
      </w:r>
      <w:r>
        <w:rPr>
          <w:sz w:val="26"/>
          <w:szCs w:val="26"/>
        </w:rPr>
        <w:t>йматериалов</w:t>
      </w:r>
      <w:r w:rsidRPr="00A53AE7">
        <w:rPr>
          <w:sz w:val="26"/>
          <w:szCs w:val="26"/>
        </w:rPr>
        <w:t>, инновационное производство, оказание услуг, развитие туристской деятельности.</w:t>
      </w:r>
      <w:r>
        <w:rPr>
          <w:sz w:val="26"/>
          <w:szCs w:val="26"/>
        </w:rPr>
        <w:t xml:space="preserve"> Для получения займа по Программе «Гарантия развития» необходимо обратиться в отделение «СИБСОЦБАНК» ООО. Адреса и контактные данные дополнительных офисов представлены на официальном сайте кредитной организации по адресу: </w:t>
      </w:r>
      <w:hyperlink r:id="rId8" w:history="1">
        <w:r w:rsidRPr="005A0E81">
          <w:rPr>
            <w:rStyle w:val="a3"/>
            <w:sz w:val="26"/>
            <w:szCs w:val="26"/>
          </w:rPr>
          <w:t>http://www.sibsoc.ru/about/contacts/</w:t>
        </w:r>
      </w:hyperlink>
      <w:r>
        <w:rPr>
          <w:sz w:val="26"/>
          <w:szCs w:val="26"/>
        </w:rPr>
        <w:t>.</w:t>
      </w:r>
    </w:p>
    <w:p w:rsidR="00430933" w:rsidRDefault="00430933"/>
    <w:sectPr w:rsidR="00430933" w:rsidSect="00280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930273"/>
    <w:rsid w:val="0014515C"/>
    <w:rsid w:val="00280082"/>
    <w:rsid w:val="00430933"/>
    <w:rsid w:val="00930273"/>
    <w:rsid w:val="00D42B14"/>
    <w:rsid w:val="00DE39DA"/>
    <w:rsid w:val="00F32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451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451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soc.ru/about/contact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orpmsp.ru/bankam/programma_stimuli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tfond.ru/agf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www.mspbank.ru/Predprinimatelyam/Garantiynaya_podderzhka_ot_NG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corpmsp.ru/finansovaya-podderzhka/garantiynaya-podderzhka-subektov-msp-ng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4194</Characters>
  <Application>Microsoft Office Word</Application>
  <DocSecurity>0</DocSecurity>
  <Lines>34</Lines>
  <Paragraphs>9</Paragraphs>
  <ScaleCrop>false</ScaleCrop>
  <Company>Microsoft</Company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999</cp:lastModifiedBy>
  <cp:revision>2</cp:revision>
  <dcterms:created xsi:type="dcterms:W3CDTF">2016-09-09T02:59:00Z</dcterms:created>
  <dcterms:modified xsi:type="dcterms:W3CDTF">2016-09-09T02:59:00Z</dcterms:modified>
</cp:coreProperties>
</file>