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32"/>
          <w:szCs w:val="28"/>
        </w:rPr>
      </w:pPr>
      <w:r>
        <w:rPr>
          <w:rFonts w:ascii="PT Astra Serif" w:hAnsi="PT Astra Serif" w:cs="PT Astra Serif" w:eastAsia="PT Astra Serif"/>
          <w:b/>
          <w:sz w:val="32"/>
          <w:szCs w:val="28"/>
        </w:rPr>
      </w:r>
      <w:r/>
    </w:p>
    <w:p>
      <w:pPr>
        <w:jc w:val="center"/>
        <w:spacing w:lineRule="auto" w:line="240" w:after="0" w:before="0"/>
        <w:rPr>
          <w:rFonts w:ascii="PT Astra Serif" w:hAnsi="PT Astra Serif" w:cs="PT Astra Serif" w:eastAsia="PT Astra Serif"/>
          <w:b/>
          <w:sz w:val="32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32"/>
          <w:szCs w:val="28"/>
        </w:rPr>
        <w:t xml:space="preserve">Объявление о проведении отбора</w:t>
      </w:r>
      <w:r>
        <w:rPr>
          <w:b/>
          <w:sz w:val="32"/>
        </w:rPr>
      </w:r>
      <w:r/>
    </w:p>
    <w:p>
      <w:pPr>
        <w:jc w:val="center"/>
        <w:spacing w:lineRule="auto" w:line="240" w:after="0" w:before="0"/>
        <w:rPr>
          <w:rFonts w:ascii="PT Astra Serif" w:hAnsi="PT Astra Serif" w:cs="PT Astra Serif" w:eastAsia="PT Astra Serif"/>
          <w:b/>
          <w:sz w:val="32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32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32"/>
          <w:szCs w:val="28"/>
          <w:highlight w:val="none"/>
        </w:rPr>
      </w:r>
      <w:r/>
    </w:p>
    <w:p>
      <w:pPr>
        <w:jc w:val="center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Грантов в форме субсидии субъектам малого и среднего предпринимательства на реализацию проектов в приоритетных сферах экономики</w:t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pStyle w:val="493"/>
        <w:jc w:val="left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white"/>
        </w:rPr>
      </w:pPr>
      <w:r>
        <w:rPr>
          <w:rFonts w:ascii="PT Astra Serif" w:hAnsi="PT Astra Serif" w:cs="PT Astra Serif" w:eastAsia="PT Astra Serif"/>
          <w:sz w:val="28"/>
          <w:szCs w:val="28"/>
          <w:highlight w:val="white"/>
        </w:rPr>
      </w:r>
      <w:r/>
    </w:p>
    <w:p>
      <w:pPr>
        <w:jc w:val="left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Основная информация</w:t>
      </w:r>
      <w:r>
        <w:rPr>
          <w:rFonts w:ascii="PT Astra Serif" w:hAnsi="PT Astra Serif" w:cs="PT Astra Serif" w:eastAsia="PT Astra Serif"/>
          <w:sz w:val="28"/>
          <w:szCs w:val="28"/>
          <w:highlight w:val="white"/>
        </w:rPr>
      </w:r>
      <w:r/>
    </w:p>
    <w:p>
      <w:pPr>
        <w:jc w:val="left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white"/>
        </w:rPr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pStyle w:val="493"/>
        <w:ind w:left="708" w:firstLine="0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whit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1. Наименование отбора </w:t>
      </w:r>
      <w:r>
        <w:rPr>
          <w:rFonts w:ascii="PT Astra Serif" w:hAnsi="PT Astra Serif" w:cs="PT Astra Serif" w:eastAsia="PT Astra Serif"/>
          <w:b/>
          <w:sz w:val="28"/>
          <w:szCs w:val="28"/>
          <w:highlight w:val="whit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Предоставление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white"/>
        </w:rPr>
        <w:t xml:space="preserve">рантов в форме субсидии субъектам малого и среднего предпринимательства на реализацию проектов в приоритетных сферах экономики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, в рамках постановления Правительства Алтайско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го края от 03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.09.2019 № 333 «Об утверждении Порядка предоставления грантов субъектам малого и среднего предпринимательства на реализацию проектов в приоритетных сферах экономики и о некоторых постановлениях Правительства Алтайского края в редакции от 13.09.2024 № 341»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(далее - Порядок).</w:t>
      </w:r>
      <w:r>
        <w:rPr>
          <w:b w:val="fals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2. Способ отбора 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Конкурс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pStyle w:val="493"/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highlight w:val="whit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3</w:t>
      </w:r>
      <w:r>
        <w:rPr>
          <w:rFonts w:ascii="PT Astra Serif" w:hAnsi="PT Astra Serif" w:cs="PT Astra Serif" w:eastAsia="PT Astra Serif"/>
          <w:b/>
          <w:sz w:val="28"/>
          <w:szCs w:val="28"/>
          <w:highlight w:val="white"/>
        </w:rPr>
        <w:t xml:space="preserve">. Наименование главного распорядителя как получателя бюджетных средств.</w:t>
      </w:r>
      <w:r>
        <w:rPr>
          <w:rFonts w:ascii="PT Astra Serif" w:hAnsi="PT Astra Serif" w:cs="PT Astra Serif" w:eastAsia="PT Astra Serif"/>
          <w:b/>
          <w:sz w:val="28"/>
          <w:szCs w:val="28"/>
          <w:highlight w:val="white"/>
        </w:rPr>
      </w:r>
      <w:r/>
    </w:p>
    <w:p>
      <w:pPr>
        <w:pStyle w:val="493"/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highlight w:val="none"/>
        </w:rPr>
      </w:pPr>
      <w:r>
        <w:rPr>
          <w:rFonts w:ascii="PT Astra Serif" w:hAnsi="PT Astra Serif" w:cs="PT Astra Serif" w:eastAsia="PT Astra Serif"/>
          <w:sz w:val="28"/>
          <w:szCs w:val="28"/>
          <w:highlight w:val="white"/>
        </w:rPr>
        <w:t xml:space="preserve">Управление Алтайского края по развитию предпринимательства и рыночной инфраструктуры (место нахождения: Алтайский кра</w:t>
      </w:r>
      <w:r>
        <w:rPr>
          <w:rFonts w:ascii="PT Astra Serif" w:hAnsi="PT Astra Serif" w:cs="PT Astra Serif" w:eastAsia="PT Astra Serif"/>
          <w:sz w:val="28"/>
          <w:szCs w:val="28"/>
          <w:highlight w:val="white"/>
        </w:rPr>
        <w:t xml:space="preserve">й, г. Барнаул, ул. Молодежная, д. 26; почтовый адрес: 656015, Алтайский край, г. Барнаул, ул. Молодежная, д. 26 (режим работы: 9.00 – 18.00, пятница: 9.00 – 17.00, обеденный перерыв: 13.00 – 13.48, выходные: суббота, воскресенье); адрес электронной почты: </w:t>
      </w:r>
      <w:hyperlink r:id="rId11" w:tooltip="mailto:dep@altsmb.ru" w:history="1">
        <w:r>
          <w:rPr>
            <w:rStyle w:val="526"/>
            <w:rFonts w:ascii="PT Astra Serif" w:hAnsi="PT Astra Serif" w:cs="PT Astra Serif" w:eastAsia="PT Astra Serif"/>
            <w:color w:val="auto"/>
            <w:sz w:val="28"/>
            <w:szCs w:val="28"/>
            <w:highlight w:val="white"/>
            <w:lang w:val="en-US"/>
          </w:rPr>
          <w:t xml:space="preserve">dep</w:t>
        </w:r>
        <w:r>
          <w:rPr>
            <w:rStyle w:val="526"/>
            <w:rFonts w:ascii="PT Astra Serif" w:hAnsi="PT Astra Serif" w:cs="PT Astra Serif" w:eastAsia="PT Astra Serif"/>
            <w:color w:val="auto"/>
            <w:sz w:val="28"/>
            <w:szCs w:val="28"/>
            <w:highlight w:val="white"/>
          </w:rPr>
          <w:t xml:space="preserve">@</w:t>
        </w:r>
        <w:r>
          <w:rPr>
            <w:rStyle w:val="526"/>
            <w:rFonts w:ascii="PT Astra Serif" w:hAnsi="PT Astra Serif" w:cs="PT Astra Serif" w:eastAsia="PT Astra Serif"/>
            <w:color w:val="auto"/>
            <w:sz w:val="28"/>
            <w:szCs w:val="28"/>
            <w:highlight w:val="white"/>
            <w:lang w:val="en-US"/>
          </w:rPr>
          <w:t xml:space="preserve">altsmb</w:t>
        </w:r>
        <w:r>
          <w:rPr>
            <w:rStyle w:val="526"/>
            <w:rFonts w:ascii="PT Astra Serif" w:hAnsi="PT Astra Serif" w:cs="PT Astra Serif" w:eastAsia="PT Astra Serif"/>
            <w:color w:val="auto"/>
            <w:sz w:val="28"/>
            <w:szCs w:val="28"/>
            <w:highlight w:val="white"/>
          </w:rPr>
          <w:t xml:space="preserve">.</w:t>
        </w:r>
        <w:r>
          <w:rPr>
            <w:rStyle w:val="526"/>
            <w:rFonts w:ascii="PT Astra Serif" w:hAnsi="PT Astra Serif" w:cs="PT Astra Serif" w:eastAsia="PT Astra Serif"/>
            <w:color w:val="auto"/>
            <w:sz w:val="28"/>
            <w:szCs w:val="28"/>
            <w:highlight w:val="white"/>
            <w:lang w:val="en-US"/>
          </w:rPr>
          <w:t xml:space="preserve">ru</w:t>
        </w:r>
      </w:hyperlink>
      <w:r>
        <w:rPr>
          <w:rFonts w:ascii="PT Astra Serif" w:hAnsi="PT Astra Serif" w:cs="PT Astra Serif" w:eastAsia="PT Astra Serif"/>
          <w:sz w:val="28"/>
          <w:szCs w:val="28"/>
          <w:highlight w:val="white"/>
        </w:rPr>
        <w:t xml:space="preserve">).</w:t>
      </w:r>
      <w:r>
        <w:rPr>
          <w:rFonts w:ascii="PT Astra Serif" w:hAnsi="PT Astra Serif" w:cs="PT Astra Serif" w:eastAsia="PT Astra Serif"/>
          <w:sz w:val="28"/>
          <w:szCs w:val="28"/>
          <w:highlight w:val="whit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Контактные телефоны: Артеменко Даниил Юрьевич 8 (3852) 24-24-82; Клименко Роман Юрьевич 8 (3853) 24-24-82; Неупокоев Максим Юрьевич 8 (3852) 38-05-18.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4. Срок приема заявок</w:t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white"/>
        </w:rPr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20.09.2024 (09:00) 21.10.2024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white"/>
        </w:rPr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5. Срок рассмотрения заявок</w:t>
      </w:r>
      <w:r>
        <w:rPr>
          <w:rFonts w:ascii="PT Astra Serif" w:hAnsi="PT Astra Serif" w:cs="PT Astra Serif" w:eastAsia="PT Astra Serif"/>
          <w:b/>
          <w:sz w:val="28"/>
          <w:szCs w:val="28"/>
          <w:highlight w:val="whit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22.10.2024 -01.11.2024</w:t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whit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6. Срок принятия решения</w:t>
      </w:r>
      <w:r>
        <w:rPr>
          <w:rFonts w:ascii="PT Astra Serif" w:hAnsi="PT Astra Serif" w:cs="PT Astra Serif" w:eastAsia="PT Astra Serif"/>
          <w:b/>
          <w:sz w:val="28"/>
          <w:szCs w:val="28"/>
          <w:highlight w:val="whit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04.11.2024 - 11.11.2024</w:t>
      </w:r>
      <w:r>
        <w:rPr>
          <w:rFonts w:ascii="PT Astra Serif" w:hAnsi="PT Astra Serif" w:cs="PT Astra Serif" w:eastAsia="PT Astra Serif"/>
          <w:b/>
          <w:sz w:val="28"/>
          <w:szCs w:val="28"/>
          <w:highlight w:val="whit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whit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7. Срок оценки заявок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12.11.2024 - 25.11.2024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8. Срок объявления победителей отбора</w:t>
      </w:r>
      <w:r>
        <w:rPr>
          <w:rFonts w:ascii="PT Astra Serif" w:hAnsi="PT Astra Serif" w:cs="PT Astra Serif" w:eastAsia="PT Astra Serif"/>
          <w:b/>
          <w:sz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27.11.2024</w:t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9. Срок заключения соглашений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В течении 15 рабочих дней со дня утверждения протокола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 конкурсной комиссии. </w:t>
      </w:r>
      <w:r/>
    </w:p>
    <w:p>
      <w:pPr>
        <w:ind w:firstLine="0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10. Условия признания победителя отбора уклонившимся от заключения соглашения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Неподписание победителем отбора Соглашения в срок, установленный пунктом 2.13 Порядка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 предоставления грантов.</w:t>
      </w:r>
      <w:r>
        <w:rPr>
          <w:rFonts w:ascii="PT Astra Serif" w:hAnsi="PT Astra Serif" w:cs="PT Astra Serif" w:eastAsia="PT Astra Serif"/>
          <w:sz w:val="28"/>
          <w:szCs w:val="28"/>
          <w:highlight w:val="whit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11. Необходимо привлечения софинансирования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Не менее 30 % от стоимости проекта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.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pStyle w:val="493"/>
        <w:ind w:firstLine="708"/>
        <w:jc w:val="both"/>
        <w:spacing w:lineRule="auto" w:line="240" w:after="0" w:before="0"/>
        <w:tabs>
          <w:tab w:val="clear" w:pos="708" w:leader="none"/>
          <w:tab w:val="left" w:pos="8411" w:leader="none"/>
        </w:tabs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12. Результаты предоставления гранта в форме субсидии</w:t>
      </w:r>
      <w:r>
        <w:rPr>
          <w:rFonts w:ascii="PT Astra Serif" w:hAnsi="PT Astra Serif" w:cs="PT Astra Serif" w:eastAsia="PT Astra Serif"/>
          <w:highlight w:val="none"/>
        </w:rPr>
        <w:t xml:space="preserve">:</w:t>
      </w:r>
      <w:r>
        <w:rPr>
          <w:highlight w:val="none"/>
        </w:rPr>
      </w:r>
      <w:r/>
    </w:p>
    <w:p>
      <w:pPr>
        <w:ind w:firstLine="0"/>
        <w:jc w:val="both"/>
        <w:spacing w:lineRule="auto" w:line="240" w:after="0" w:before="0"/>
        <w:tabs>
          <w:tab w:val="clear" w:pos="708" w:leader="none"/>
          <w:tab w:val="left" w:pos="8411" w:leader="none"/>
        </w:tabs>
        <w:rPr>
          <w:rFonts w:ascii="PT Astra Serif" w:hAnsi="PT Astra Serif" w:cs="PT Astra Serif" w:eastAsia="PT Astra Serif"/>
          <w:b/>
          <w:sz w:val="28"/>
          <w:szCs w:val="28"/>
          <w:highlight w:val="yellow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yellow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yellow"/>
        </w:rPr>
      </w:r>
      <w:r/>
    </w:p>
    <w:tbl>
      <w:tblPr>
        <w:tblStyle w:val="56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155"/>
        <w:gridCol w:w="2231"/>
        <w:gridCol w:w="1605"/>
        <w:gridCol w:w="1905"/>
      </w:tblGrid>
      <w:tr>
        <w:trPr/>
        <w:tc>
          <w:tcPr>
            <w:tcW w:w="67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315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2231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160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190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</w:tr>
      <w:tr>
        <w:trPr/>
        <w:tc>
          <w:tcPr>
            <w:tcW w:w="67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№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315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Наименование результата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2231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Наименование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160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Код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190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Срок достижения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</w:tr>
      <w:tr>
        <w:trPr/>
        <w:tc>
          <w:tcPr>
            <w:tcW w:w="675" w:type="dxa"/>
            <w:textDirection w:val="lrTb"/>
            <w:noWrap w:val="false"/>
          </w:tcPr>
          <w:p>
            <w:pPr>
              <w:jc w:val="left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315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Реализованный проект, заявленный субъектом и предусматривающий достижение показателей, - приобретение оборудования, создание новых постоянных рабочих мест путем увеличения списочной численности в случае указания в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 проекте увеличения списочной численности (за исключением проектов по направлениям «Развитие торговли», «Ремесленное мастерство», по которым не требуется создание рабочих мест)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</w:r>
            <w:r/>
          </w:p>
        </w:tc>
        <w:tc>
          <w:tcPr>
            <w:tcW w:w="2231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Месяц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160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362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  <w:tc>
          <w:tcPr>
            <w:tcW w:w="190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30.06.2025</w:t>
            </w:r>
            <w:r>
              <w:rPr>
                <w:rFonts w:ascii="PT Astra Serif" w:hAnsi="PT Astra Serif" w:cs="PT Astra Serif" w:eastAsia="PT Astra Serif"/>
                <w:b w:val="false"/>
                <w:sz w:val="28"/>
                <w:highlight w:val="yellow"/>
              </w:rPr>
            </w:r>
            <w:r/>
          </w:p>
        </w:tc>
      </w:tr>
    </w:tbl>
    <w:p>
      <w:pPr>
        <w:ind w:firstLine="708"/>
        <w:jc w:val="both"/>
        <w:spacing w:lineRule="auto" w:line="240" w:after="0" w:before="0"/>
        <w:tabs>
          <w:tab w:val="clear" w:pos="708" w:leader="none"/>
          <w:tab w:val="left" w:pos="8411" w:leader="none"/>
        </w:tabs>
        <w:rPr>
          <w:rFonts w:ascii="PT Astra Serif" w:hAnsi="PT Astra Serif" w:cs="PT Astra Serif" w:eastAsia="PT Astra Serif"/>
          <w:b/>
          <w:sz w:val="28"/>
          <w:szCs w:val="28"/>
          <w:highlight w:val="yellow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yellow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yellow"/>
        </w:rPr>
      </w:r>
      <w:r/>
    </w:p>
    <w:p>
      <w:pPr>
        <w:ind w:firstLine="0"/>
        <w:jc w:val="both"/>
        <w:spacing w:lineRule="auto" w:line="240" w:after="0" w:before="0"/>
        <w:tabs>
          <w:tab w:val="clear" w:pos="708" w:leader="none"/>
          <w:tab w:val="left" w:pos="8411" w:leader="none"/>
        </w:tabs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both"/>
        <w:spacing w:lineRule="auto" w:line="240" w:after="0" w:before="0"/>
        <w:tabs>
          <w:tab w:val="clear" w:pos="708" w:leader="none"/>
          <w:tab w:val="left" w:pos="8411" w:leader="none"/>
        </w:tabs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both"/>
        <w:spacing w:lineRule="auto" w:line="240" w:after="0" w:before="0"/>
        <w:tabs>
          <w:tab w:val="clear" w:pos="708" w:leader="none"/>
          <w:tab w:val="left" w:pos="8411" w:leader="none"/>
        </w:tabs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tabs>
          <w:tab w:val="clear" w:pos="708" w:leader="none"/>
          <w:tab w:val="left" w:pos="8411" w:leader="none"/>
        </w:tabs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tabs>
          <w:tab w:val="clear" w:pos="708" w:leader="none"/>
          <w:tab w:val="left" w:pos="8411" w:leader="none"/>
        </w:tabs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tabs>
          <w:tab w:val="clear" w:pos="708" w:leader="none"/>
          <w:tab w:val="left" w:pos="8411" w:leader="none"/>
        </w:tabs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13. Условия предоставления гранта</w:t>
      </w:r>
      <w:r>
        <w:rPr>
          <w:rFonts w:ascii="PT Astra Serif" w:hAnsi="PT Astra Serif" w:cs="PT Astra Serif" w:eastAsia="PT Astra Serif"/>
          <w:highlight w:val="none"/>
        </w:rPr>
        <w:t xml:space="preserve">:</w:t>
      </w:r>
      <w:r>
        <w:rPr>
          <w:highlight w:val="none"/>
        </w:rPr>
      </w:r>
      <w:r/>
    </w:p>
    <w:p>
      <w:pPr>
        <w:ind w:firstLine="708"/>
        <w:jc w:val="both"/>
        <w:spacing w:lineRule="auto" w:line="240" w:after="0" w:before="0"/>
        <w:tabs>
          <w:tab w:val="clear" w:pos="708" w:leader="none"/>
          <w:tab w:val="left" w:pos="8411" w:leader="none"/>
        </w:tabs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highlight w:val="none"/>
        </w:rPr>
      </w:r>
      <w:r>
        <w:rPr>
          <w:rFonts w:ascii="PT Astra Serif" w:hAnsi="PT Astra Serif" w:cs="PT Astra Serif" w:eastAsia="PT Astra Serif"/>
          <w:highlight w:val="none"/>
        </w:rPr>
      </w:r>
      <w:r/>
    </w:p>
    <w:tbl>
      <w:tblPr>
        <w:tblStyle w:val="561"/>
        <w:tblW w:w="0" w:type="auto"/>
        <w:tblLayout w:type="fixed"/>
        <w:tblLook w:val="04A0" w:firstRow="1" w:lastRow="0" w:firstColumn="1" w:lastColumn="0" w:noHBand="0" w:noVBand="1"/>
      </w:tblPr>
      <w:tblGrid>
        <w:gridCol w:w="816"/>
        <w:gridCol w:w="3012"/>
        <w:gridCol w:w="2091"/>
        <w:gridCol w:w="1738"/>
        <w:gridCol w:w="1914"/>
      </w:tblGrid>
      <w:tr>
        <w:trPr/>
        <w:tc>
          <w:tcPr>
            <w:tcW w:w="816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r>
            <w:r>
              <w:rPr>
                <w:sz w:val="27"/>
              </w:rPr>
            </w:r>
            <w:r/>
          </w:p>
        </w:tc>
        <w:tc>
          <w:tcPr>
            <w:tcW w:w="3012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r>
            <w:r>
              <w:rPr>
                <w:sz w:val="27"/>
              </w:rPr>
            </w:r>
            <w:r/>
          </w:p>
        </w:tc>
        <w:tc>
          <w:tcPr>
            <w:gridSpan w:val="2"/>
            <w:tcW w:w="3828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Единица измерения по ОКЕИ</w:t>
            </w:r>
            <w:r>
              <w:rPr>
                <w:sz w:val="27"/>
              </w:rPr>
            </w:r>
            <w:r/>
          </w:p>
        </w:tc>
        <w:tc>
          <w:tcPr>
            <w:tcW w:w="1914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r>
            <w:r>
              <w:rPr>
                <w:sz w:val="27"/>
              </w:rPr>
            </w:r>
            <w:r/>
          </w:p>
        </w:tc>
      </w:tr>
      <w:tr>
        <w:trPr/>
        <w:tc>
          <w:tcPr>
            <w:tcW w:w="816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№</w:t>
            </w:r>
            <w:r>
              <w:rPr>
                <w:sz w:val="27"/>
              </w:rPr>
            </w:r>
            <w:r/>
          </w:p>
        </w:tc>
        <w:tc>
          <w:tcPr>
            <w:tcW w:w="3012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Наименование условия</w:t>
            </w:r>
            <w:r>
              <w:rPr>
                <w:sz w:val="27"/>
              </w:rPr>
            </w:r>
            <w:r/>
          </w:p>
        </w:tc>
        <w:tc>
          <w:tcPr>
            <w:tcW w:w="2091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Наименование</w:t>
            </w:r>
            <w:r>
              <w:rPr>
                <w:sz w:val="27"/>
              </w:rPr>
            </w:r>
            <w:r/>
          </w:p>
        </w:tc>
        <w:tc>
          <w:tcPr>
            <w:tcW w:w="1738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Код</w:t>
            </w:r>
            <w:r>
              <w:rPr>
                <w:sz w:val="27"/>
              </w:rPr>
            </w:r>
            <w:r/>
          </w:p>
        </w:tc>
        <w:tc>
          <w:tcPr>
            <w:tcW w:w="1914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Срок достижения</w:t>
            </w:r>
            <w:r>
              <w:rPr>
                <w:sz w:val="27"/>
              </w:rPr>
            </w:r>
            <w:r/>
          </w:p>
        </w:tc>
      </w:tr>
      <w:tr>
        <w:trPr/>
        <w:tc>
          <w:tcPr>
            <w:tcW w:w="816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1</w:t>
            </w:r>
            <w:r>
              <w:rPr>
                <w:sz w:val="27"/>
              </w:rPr>
            </w:r>
            <w:r/>
          </w:p>
        </w:tc>
        <w:tc>
          <w:tcPr>
            <w:tcW w:w="3012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Непрекращение деятельности в качестве субъекта в течение трех лет после реализации проекта</w:t>
            </w:r>
            <w:r>
              <w:rPr>
                <w:sz w:val="27"/>
              </w:rPr>
            </w:r>
            <w:r/>
          </w:p>
        </w:tc>
        <w:tc>
          <w:tcPr>
            <w:tcW w:w="2091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Год</w:t>
            </w:r>
            <w:r>
              <w:rPr>
                <w:sz w:val="27"/>
              </w:rPr>
            </w:r>
            <w:r/>
          </w:p>
        </w:tc>
        <w:tc>
          <w:tcPr>
            <w:tcW w:w="1738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366</w:t>
            </w:r>
            <w:r>
              <w:rPr>
                <w:sz w:val="27"/>
              </w:rPr>
            </w:r>
            <w:r/>
          </w:p>
        </w:tc>
        <w:tc>
          <w:tcPr>
            <w:tcW w:w="1914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30.06.2028</w:t>
            </w:r>
            <w:r>
              <w:rPr>
                <w:sz w:val="27"/>
              </w:rPr>
            </w:r>
            <w:r/>
          </w:p>
        </w:tc>
      </w:tr>
      <w:tr>
        <w:trPr/>
        <w:tc>
          <w:tcPr>
            <w:tcW w:w="816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2</w:t>
            </w:r>
            <w:r>
              <w:rPr>
                <w:sz w:val="27"/>
              </w:rPr>
            </w:r>
            <w:r/>
          </w:p>
        </w:tc>
        <w:tc>
          <w:tcPr>
            <w:tcW w:w="3012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Отсутствие случаев реализации, отчуждения иным способом, сдачи в аренду приобретенного за счет средств гранта имущества, в том числе оборудования, техники, транспортных средств в течение трех лет после реализации проекта;</w:t>
            </w:r>
            <w:r>
              <w:rPr>
                <w:sz w:val="27"/>
              </w:rPr>
            </w:r>
            <w:r/>
          </w:p>
        </w:tc>
        <w:tc>
          <w:tcPr>
            <w:tcW w:w="2091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Год</w:t>
            </w:r>
            <w:r>
              <w:rPr>
                <w:sz w:val="27"/>
              </w:rPr>
            </w:r>
            <w:r/>
          </w:p>
        </w:tc>
        <w:tc>
          <w:tcPr>
            <w:tcW w:w="1738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366</w:t>
            </w:r>
            <w:r>
              <w:rPr>
                <w:sz w:val="27"/>
              </w:rPr>
            </w:r>
            <w:r/>
          </w:p>
        </w:tc>
        <w:tc>
          <w:tcPr>
            <w:tcW w:w="1914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30.06.2028</w:t>
            </w:r>
            <w:r>
              <w:rPr>
                <w:sz w:val="27"/>
              </w:rPr>
            </w:r>
            <w:r/>
          </w:p>
        </w:tc>
      </w:tr>
      <w:tr>
        <w:trPr/>
        <w:tc>
          <w:tcPr>
            <w:tcW w:w="816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3</w:t>
            </w:r>
            <w:r>
              <w:rPr>
                <w:sz w:val="27"/>
              </w:rPr>
            </w:r>
            <w:r/>
          </w:p>
        </w:tc>
        <w:tc>
          <w:tcPr>
            <w:tcW w:w="3012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Сохранение списочной численности, сложившейся после реализации проекта, до конца календарного года, в котором реализован проект</w:t>
            </w:r>
            <w:r>
              <w:rPr>
                <w:sz w:val="27"/>
              </w:rPr>
            </w:r>
            <w:r/>
          </w:p>
        </w:tc>
        <w:tc>
          <w:tcPr>
            <w:tcW w:w="2091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Месяц</w:t>
            </w:r>
            <w:r>
              <w:rPr>
                <w:sz w:val="27"/>
              </w:rPr>
            </w:r>
            <w:r/>
          </w:p>
        </w:tc>
        <w:tc>
          <w:tcPr>
            <w:tcW w:w="1738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362</w:t>
            </w:r>
            <w:r>
              <w:rPr>
                <w:sz w:val="27"/>
              </w:rPr>
            </w:r>
            <w:r/>
          </w:p>
        </w:tc>
        <w:tc>
          <w:tcPr>
            <w:tcW w:w="1914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tabs>
                <w:tab w:val="clear" w:pos="708" w:leader="none"/>
                <w:tab w:val="left" w:pos="8411" w:leader="none"/>
              </w:tabs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7"/>
                <w:highlight w:val="none"/>
              </w:rPr>
              <w:t xml:space="preserve">31.12.2025</w:t>
            </w:r>
            <w:r>
              <w:rPr>
                <w:sz w:val="27"/>
              </w:rPr>
            </w:r>
            <w:r/>
          </w:p>
        </w:tc>
      </w:tr>
    </w:tbl>
    <w:p>
      <w:pPr>
        <w:pStyle w:val="493"/>
        <w:ind w:firstLine="0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14. Доменное имя сайта в информационно-телекоммуникационной сети «Интернет», на котором обеспечивается проведение отбора.</w:t>
      </w:r>
      <w:r>
        <w:rPr>
          <w:rFonts w:ascii="PT Astra Serif" w:hAnsi="PT Astra Serif" w:cs="PT Astra Serif" w:eastAsia="PT Astra Serif"/>
          <w:b/>
          <w:sz w:val="28"/>
          <w:highlight w:val="none"/>
        </w:rPr>
      </w:r>
      <w:r/>
    </w:p>
    <w:p>
      <w:pPr>
        <w:pStyle w:val="493"/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8"/>
          <w:szCs w:val="28"/>
          <w:lang w:val="en-US"/>
        </w:rPr>
        <w:t xml:space="preserve">www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lang w:val="en-US"/>
        </w:rPr>
        <w:t xml:space="preserve">altsmb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.</w:t>
      </w:r>
      <w:r>
        <w:rPr>
          <w:rFonts w:ascii="PT Astra Serif" w:hAnsi="PT Astra Serif" w:cs="PT Astra Serif" w:eastAsia="PT Astra Serif"/>
          <w:sz w:val="28"/>
          <w:szCs w:val="28"/>
          <w:lang w:val="en-US"/>
        </w:rPr>
        <w:t xml:space="preserve">ru</w:t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  <w:t xml:space="preserve">Распределение средств</w:t>
      </w:r>
      <w:r>
        <w:rPr>
          <w:rFonts w:ascii="PT Astra Serif" w:hAnsi="PT Astra Serif" w:cs="PT Astra Serif" w:eastAsia="PT Astra Serif"/>
          <w:b/>
          <w:sz w:val="28"/>
          <w:szCs w:val="28"/>
          <w:highlight w:val="yellow"/>
        </w:rPr>
      </w:r>
      <w:r/>
    </w:p>
    <w:p>
      <w:pPr>
        <w:ind w:firstLine="708"/>
        <w:jc w:val="left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1. Объем распределяемых средств в текущем отборе </w:t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tbl>
      <w:tblPr>
        <w:tblStyle w:val="561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Год предоставления средств</w:t>
            </w:r>
            <w:r>
              <w:rPr>
                <w:b w:val="false"/>
              </w:rPr>
            </w:r>
            <w:r/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Сумма рублей</w:t>
            </w:r>
            <w:r>
              <w:rPr>
                <w:b w:val="false"/>
              </w:rPr>
            </w:r>
            <w:r/>
          </w:p>
        </w:tc>
      </w:tr>
      <w:tr>
        <w:trPr/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2024</w:t>
            </w:r>
            <w:r>
              <w:rPr>
                <w:b w:val="false"/>
              </w:rPr>
            </w:r>
            <w:r/>
          </w:p>
        </w:tc>
        <w:tc>
          <w:tcPr>
            <w:tcW w:w="4785" w:type="dxa"/>
            <w:textDirection w:val="lrTb"/>
            <w:noWrap w:val="false"/>
          </w:tcPr>
          <w:p>
            <w:pPr>
              <w:jc w:val="both"/>
              <w:spacing w:lineRule="auto" w:line="240" w:after="0" w:before="0"/>
              <w:rPr>
                <w:rFonts w:ascii="PT Astra Serif" w:hAnsi="PT Astra Serif" w:cs="PT Astra Serif" w:eastAsia="PT Astra Serif"/>
                <w:b w:val="false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8"/>
                <w:highlight w:val="none"/>
              </w:rPr>
              <w:t xml:space="preserve">23 072 700,00</w:t>
            </w:r>
            <w:r>
              <w:rPr>
                <w:b w:val="false"/>
              </w:rPr>
            </w:r>
            <w:r/>
          </w:p>
        </w:tc>
      </w:tr>
    </w:tbl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2. Порядок расчета размера гранта и правила его распределения:</w:t>
      </w:r>
      <w:r>
        <w:rPr>
          <w:rFonts w:ascii="PT Astra Serif" w:hAnsi="PT Astra Serif" w:cs="PT Astra Serif" w:eastAsia="PT Astra Serif"/>
          <w:b/>
          <w:sz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Расчета размера гранта и правила его распределение определяется пунктом 2.11 Порядка. 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3. Предельный размер субсидии для одного получателя</w:t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2 000 000,00 рублей </w:t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4. Количество победителей отбора </w:t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Не установлено</w:t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Порядок проведения</w:t>
      </w:r>
      <w:r>
        <w:rPr>
          <w:b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1. Порядок подачи заявок и требования к их содержанию и форме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Заявка для участия в отборе формируется участником отбора в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электронной форме посредством заполнения соответствующих экранных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форм вебинтерфейса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системы «АИС»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(по адресу </w:t>
      </w:r>
      <w:r>
        <w:rPr>
          <w:rFonts w:ascii="PT Astra Serif" w:hAnsi="PT Astra Serif" w:cs="PT Astra Serif" w:eastAsia="PT Astra Serif"/>
          <w:b w:val="false"/>
          <w:sz w:val="28"/>
        </w:rPr>
        <w:t xml:space="preserve">https://omgp.alregn.ru/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)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в сроки, установленные в объявлении о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проведении отбора, и должна содержать информацию об участнике отбора,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электронные копии документов, подтверждающие соответствие участника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отбора требованиям, установленным Порядком, предлагаемое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участником отбора значение результата предоставления гранта и его размер.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 заявкой в систему «АИС» должны быть представлены в виде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электронных копий (документов на бумажном носителе, преобразованных в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электронную форму путем сканирования, текст которых должен быть четким,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хорошо читаемым и не содержать исправлений) следующие документы: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заявление о предоставлении гранта, содержащее согласие на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публикацию (размещение) на официальном сайте управления (www.altsmb.ru)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информации о субъекте и подаваемой им заявке;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проект с учетом требований пункта 2.19 настоящего Порядка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(рекомендованная форма проекта утверждается приказом управления и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размещается на официальном сайте управления (www.altsmb.ru):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справку о списочной численности работников за отчетный период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текущего финансового года, предшествующий дате подачи документов;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заверенную субъектом копию раздела 2 формы ЕФС-1 за отчетный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период текущего финансового года, предшествующий дате подачи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документов;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копии документов, подтверждающих фактически произведенные в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период с 1 января текущего финансового года затраты собственных средств в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размере не менее 30 процентов от стоимости проекта (договоры приобретения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(при приобретении транспортного средства представляется копия паспорта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транспортного средства либо выписка из электронного паспорта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транспортного средства), счета-фактуры (при наличии), товарные накладные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либо универсальные передаточные документы, документы о принятии к учету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объекта основных средств либо инвентарные карточки (при наличии),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платежные документы, счета (при наличии), а также копии документов,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подтверждающих приобретение оборудования у производителя (в случае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отсутствия данной информации в договоре приобретения) либо официального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дистрибьютора (дилера/субдилера) или официального партнера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(представителя), в том числе импортера производителя оборудования,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реализующего продукцию данного производителя, заверенные субъектом).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При предоставлении указанных в данном абзаце документов на иностранном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языке субъект обеспечивает их перевод на русский язык и прикладывает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переведенные документы к заявке (с приложением документов,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подтверждающих компетенцию переводчика (копия диплома или иного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документа, подтверждающего фактическое владение переводимым языком)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(для реализуемых проектов);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копии документов, подтверждающих наличие собственных средств для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софинансирования в размере не менее 30% от стоимости проекта, заверенные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субъектом (для планируемых к реализации проектов);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копию лицензии на осуществление медицинской деятельности либо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выписку из реестра лицензий (для субъектов, реализующих или планирующих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к реализации проект в сфере здравоохранения) - по инициативе заявителя;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согласие на обработку персональных данных и согласие на обработку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персональных данных, разрешенных субъектом персональных данных для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распространения (для индивидуальных предпринимателей);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анкету;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копии платежных поручений и (или) иных документов,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подтверждающих наличие факта уплаты в краевой бюджет в текущем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финансовом году исчисленных в соответствии с налоговым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законодательством сумм налогов, авансовых платежей по налогам, сборов,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страховых взносов, обязанность уплаты которых наступила в текущем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финансовом году, а также копии уведомлений об исчисленных суммах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налогов, авансовых платежей по налогам, сборов, страховых взносов в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текущем финансовом году по форме, утвержденной Федеральной налоговой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службой, с отметкой о принятии со стороны налогового органа либо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письменные сведения, заверенные подписью руководителя и печатью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участника отбора (последнее – при наличии), об отсутствии у участника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отбора в текущем финансовом году обязанности уплатить в краевой бюджет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налоги, авансовые платежи по налогам, сборы, страховые взносы в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соответствии с налоговым законодательством;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опись.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Электронные копии документов должны иметь распространенные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открытые форматы, обеспечивающие возможность просмотра всего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документа либо его фрагмента средствами общедоступного программного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обеспечения просмотра информации, и не должны быть зашифрованы или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защищены средствами, не позволяющими осуществить ознакомление с их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содержимым без специальных программ или технологических средств.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Формы документов, указанных в абзацах третьем, пятом, десятом,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одиннадцатом, тринадцатом настоящего пункта, утверждаются приказом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управления и размещаются на его официальном сайте (www.altsmb.ru).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В случае непредставления субъектом по собственной инициативе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сведений, указанных в абзаце девятом настоящего пункта, управление до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окончания срока приема заявок, указанного в объявлении о проведении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отбора, в порядке межведомственного информационного взаимодействия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запрашивает их у соответствующего органа.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От одного участника отбора может быть представлено на получение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гранта не более одной заявки в рамках проведения управлением одного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отбора. В случае представления более одной заявки управление принимает к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рассмотрению заявку, которая зарегистрирована последней.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Датой представления участником отбора заявки считается день её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отправки в ведомство (нажатие соответствующего модального окна) в системе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«АИС» с присвоением номера и указанием даты и времени подачи.</w:t>
      </w:r>
      <w:r>
        <w:rPr>
          <w:b w:val="fals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2. Порядок отзыва заявок 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Отзыв заявок возможен до окончания срока приема заявок.</w:t>
      </w:r>
      <w:r>
        <w:rPr>
          <w:b w:val="fals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Отзыв заявки осуществляется посредством формирования в электронной форме уведомления об отзыве заявки (нажатие соответствующего модального окна  «Отозвать заявку» в системе «АИС»).</w:t>
      </w:r>
      <w:r>
        <w:rPr>
          <w:b w:val="fals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3. Порядок внесения изменений в заявку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До окончания срока приема заявок после формирования заявителем в электронной форме уведомления об отзыве заявки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(нажатие 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соответствующего модального окна  «Отозвать заявку» в системе «АИС») и последующего повторного формирован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ия новой заявки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 (нажатием модального окна «Подать»).</w:t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tabs>
          <w:tab w:val="left" w:pos="3866" w:leader="none"/>
        </w:tabs>
        <w:rPr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4. Порядок рассмотрения заявок на предмет их соответствия установленным требованиям</w:t>
      </w:r>
      <w:r>
        <w:rPr>
          <w:b/>
        </w:rPr>
      </w:r>
      <w:r/>
    </w:p>
    <w:p>
      <w:pPr>
        <w:ind w:firstLine="708"/>
        <w:jc w:val="both"/>
        <w:spacing w:lineRule="auto" w:line="240" w:after="0" w:before="0"/>
        <w:tabs>
          <w:tab w:val="left" w:pos="3866" w:leader="none"/>
        </w:tabs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b/>
        </w:rPr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После окончания срока приема заявок, установленного в объявлении о проведении отбора в соответствии с пунктом 2.2 настоящего Порядка, управление в течение 10 рабочих дней осуществляет рассмотрение представленных субъектами документов на предмет их соо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тветствия требованиям пункта 2.3 настоящего Порядка, проверку достоверности содержащейся в них информации (в пределах своей компетенции, на основании представленных в этих документах сведений), а также соответствия субъекта требованиям пунктов 2.4, 2.5 нас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тоящего Порядка, в том числе с использованием единой системы межведомственного электронного взаимодействия. </w:t>
      </w:r>
      <w:r/>
    </w:p>
    <w:p>
      <w:pPr>
        <w:ind w:firstLine="708"/>
        <w:jc w:val="both"/>
        <w:spacing w:lineRule="auto" w:line="240" w:after="0" w:before="0"/>
        <w:tabs>
          <w:tab w:val="left" w:pos="3866" w:leader="none"/>
          <w:tab w:val="center" w:pos="4677" w:leader="none"/>
        </w:tabs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По результатам рассмотрения документов и осуществления проверки управление в течение 10 рабочих дней со дня окончания срока рассмотрения принимает р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ешение:</w:t>
      </w:r>
      <w:r/>
    </w:p>
    <w:p>
      <w:pPr>
        <w:ind w:firstLine="708"/>
        <w:jc w:val="both"/>
        <w:spacing w:lineRule="auto" w:line="240" w:after="0" w:before="0"/>
        <w:tabs>
          <w:tab w:val="left" w:pos="3866" w:leader="none"/>
          <w:tab w:val="center" w:pos="4677" w:leader="none"/>
        </w:tabs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 о допуске заявки и рассмотрении проекта конкурсной комиссией; </w:t>
      </w:r>
      <w:r/>
    </w:p>
    <w:p>
      <w:pPr>
        <w:ind w:firstLine="708"/>
        <w:jc w:val="both"/>
        <w:spacing w:lineRule="auto" w:line="240" w:after="0" w:before="0"/>
        <w:tabs>
          <w:tab w:val="left" w:pos="3866" w:leader="none"/>
          <w:tab w:val="center" w:pos="4677" w:leader="none"/>
        </w:tabs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об отклонении заявки. </w:t>
      </w:r>
      <w:r/>
    </w:p>
    <w:p>
      <w:pPr>
        <w:ind w:firstLine="708"/>
        <w:jc w:val="both"/>
        <w:spacing w:lineRule="auto" w:line="240" w:after="0" w:before="0"/>
        <w:tabs>
          <w:tab w:val="left" w:pos="3866" w:leader="none"/>
          <w:tab w:val="center" w:pos="4677" w:leader="none"/>
        </w:tabs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Решение оформляется в виде реестра принятых заявок для рассмотрения проектов конкурсной комиссией и реестра отклоненных заявок.</w:t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5. Порядок отклонения заявок, а также информация об основаниях отклонения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 </w:t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несоответствие участника отбора требованиям, определенным пунктами 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2.4 и 2.5 Порядка;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несоответствие представленных участником отбора документов 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требованиям и условиям, установленным в пункте 2.3 Порядка,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непредставление (представление не в полном объеме) указанных документов, 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за исключением документа, указанного в абзаце девятом пункта 2.3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 Порядка;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недостоверность информации, содержащейся в представленных 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участником отбора заявке и (или) входящих в ее состав документах;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подача участником отбора заявки после даты и (или) времени, 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  <w:t xml:space="preserve">определенных для подачи заявок.</w:t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6. Порядок предоставления участникам отбора разъяснений положений объявления о проведении отбора</w:t>
      </w:r>
      <w:r>
        <w:rPr>
          <w:b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sz w:val="28"/>
          <w:highlight w:val="none"/>
        </w:rPr>
        <w:t xml:space="preserve">Консультирование участников отбора в целях разъяснения положений объявления о проведении отбора осуществляется управлением в устной и письменной форме (в зависимости от формы обращения) в течение всего срока приема заявок в день поступления обращения.</w:t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yellow"/>
        </w:rPr>
      </w:pPr>
      <w:r>
        <w:rPr>
          <w:rFonts w:ascii="PT Astra Serif" w:hAnsi="PT Astra Serif" w:cs="PT Astra Serif" w:eastAsia="PT Astra Serif"/>
          <w:sz w:val="28"/>
          <w:szCs w:val="28"/>
          <w:highlight w:val="yellow"/>
        </w:rPr>
      </w:r>
      <w:r>
        <w:rPr>
          <w:rFonts w:ascii="PT Astra Serif" w:hAnsi="PT Astra Serif" w:cs="PT Astra Serif" w:eastAsia="PT Astra Serif"/>
          <w:sz w:val="28"/>
          <w:szCs w:val="28"/>
          <w:highlight w:val="yellow"/>
        </w:rPr>
      </w:r>
      <w:r/>
    </w:p>
    <w:p>
      <w:pPr>
        <w:pStyle w:val="493"/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Критерии рассмотрения и оценки заявки</w:t>
      </w:r>
      <w:r/>
    </w:p>
    <w:p>
      <w:pPr>
        <w:ind w:firstLine="708"/>
        <w:jc w:val="both"/>
        <w:spacing w:lineRule="auto" w:line="240" w:after="0" w:before="0"/>
        <w:tabs>
          <w:tab w:val="left" w:pos="3911" w:leader="none"/>
        </w:tabs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1. Перечень документов, предоставляемых для подтверждения соответствия требованиям</w:t>
      </w:r>
      <w:r/>
    </w:p>
    <w:p>
      <w:pPr>
        <w:ind w:firstLine="708"/>
        <w:jc w:val="both"/>
        <w:spacing w:lineRule="auto" w:line="240" w:after="0" w:before="0"/>
        <w:tabs>
          <w:tab w:val="left" w:pos="3911" w:leader="none"/>
        </w:tabs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Перечень документов, требуемых для соответствия требованиям, определен пунктом 2.3 Порядка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tabs>
          <w:tab w:val="left" w:pos="3911" w:leader="none"/>
        </w:tabs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r>
      <w:r/>
    </w:p>
    <w:p>
      <w:pPr>
        <w:ind w:firstLine="0"/>
        <w:jc w:val="both"/>
        <w:spacing w:lineRule="auto" w:line="240" w:after="0" w:before="0"/>
        <w:tabs>
          <w:tab w:val="left" w:pos="3911" w:leader="none"/>
        </w:tabs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tabs>
          <w:tab w:val="left" w:pos="3911" w:leader="none"/>
        </w:tabs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2. Требования к участникам отбора</w:t>
      </w:r>
      <w:r/>
    </w:p>
    <w:p>
      <w:pPr>
        <w:ind w:firstLine="708"/>
        <w:jc w:val="both"/>
        <w:spacing w:lineRule="auto" w:line="240" w:after="0" w:before="0"/>
        <w:tabs>
          <w:tab w:val="left" w:pos="3911" w:leader="none"/>
        </w:tabs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В соответствии с пунктом 2.4 Порядка </w:t>
      </w:r>
      <w:r>
        <w:rPr>
          <w:rFonts w:ascii="PT Astra Serif" w:hAnsi="PT Astra Serif" w:cs="PT Astra Serif" w:eastAsia="PT Astra Serif"/>
          <w:b w:val="false"/>
          <w:sz w:val="28"/>
        </w:rPr>
        <w:t xml:space="preserve">категория получателей гранта - субъекты, не относящиеся к категориям, установленным частями 3 - 4 статьи 14 Федерального закона № 209-ФЗ, и реализующие или планирующие реализовывать проект в приоритетных сферах экономики.</w:t>
      </w:r>
      <w:r>
        <w:rPr>
          <w:rFonts w:ascii="PT Astra Serif" w:hAnsi="PT Astra Serif" w:cs="PT Astra Serif" w:eastAsia="PT Astra Serif"/>
          <w:b w:val="false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</w:rPr>
        <w:t xml:space="preserve">Для получения грантов участники отбора должны удовлетворять следующим требования:</w:t>
      </w:r>
      <w:r/>
    </w:p>
    <w:p>
      <w:pPr>
        <w:ind w:firstLine="708"/>
        <w:jc w:val="both"/>
        <w:spacing w:lineRule="auto" w:line="240" w:after="0" w:before="0"/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по состоянию на дату рассмотрения заявки и заключения соглашения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о предоставлении гранта, указанного в пункте 2.13 настоящего Порядка: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на едином налоговом счете должна отсутствовать задолженность по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уплате налогов, сборов и страховых взносов в бюджеты бюджетной системы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Российской Федерации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;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не являться иностранным юридическим лицом, в том числе местом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регистрации которого является государство или территория, включенные в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утвержденный Министерством финансов Российской Федерации перечень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государств и территорий, используемых для промежуточного (офшорного)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владения активами в Российской Федерации (далее - «офшорные компании»),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а также российским юридическим лицом, в уставном (складочном) капитале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которого доля прямого или косвенного (через третьих лиц) участия офшорных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компаний в совокупности превышает 25 процентов (если иное не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предусмотрено законодательством Российской Федерации). При расчете доли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участия офшорных компаний в капитале российских юридических лиц не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учитывается прямое и (или) косвенное участие офшорных компаний в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капитале публичных акционерных обществ (в том числе со статусом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международной компании), акции которых обращаются на организованных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торгах в Российской Федерации, а также косвенное участие офшорных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компаний в капитале других российских юридических лиц, реализованное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через участие в капитале указанных публичных акционерных обществ;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не находиться в перечне организаций, в отношении которых имеются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сведения об их причастности к экстремистской деятельности или терроризму;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не находиться в составляемых в рамках реализации полномочий,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предусмотренных главой VII Устава ООН, Советом Безопасности ООН или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органами, специально созданными решениями Совета Безопасности ООН,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перечнях организаций и физических лиц, связанных с террористическими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организациями и террористами или с распространением оружия массового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уничтожения;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не получать средства из краевого бюджета на основании иных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нормативных правовых актов Алтайского края на цели, указанные в пункте 1.4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настоящего Порядка; 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не являться иностранным агентом в соответствии с Федеральным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законом от 14.07.2022 № 255-ФЗ «О контроле за деятельностью лиц,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находящихся под иностранным влиянием»; 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не иметь просроченной задолженности по возврату в краевой бюджет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субсидий, бюджетных инвестиций, а также иной просроченной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 (неурегулированной) задолженности по денежным обязательствам перед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Алтайским краем; 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получатель гранта (участник отбора), являющийся юридическим лицом,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не должен находиться в процессе реорганизации (за исключением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реорганизации в форме присоединения к юридическому лицу, являющемуся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получателем гранта (участником отбора), другого юридического лица),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ликвидации, в отношении его не должна быть введена процедура банкротства,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деятельность получателя гранта (участника отбора) не должна быть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приостановлена в порядке, предусмотренном законодательством Российской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Федерации, а получатель гранта (участник отбора), являющийся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индивидуальным предпринимателем, не должен прекратить деятельность в 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  <w:t xml:space="preserve">качестве индивидуального предпринимателя;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в реестре дисквалифицированных лиц должны отсутствовать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еля гранта (участника отбора), являющегося юридическим лицом, об индивидуальном предпринимателе, являющемся получателем гранта (участником отбора);</w:t>
      </w:r>
      <w:r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по состоянию на дату представления заявки: 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быть зарегистрированным и (или) иметь поставленный на налоговый учет филиал, представительство, иное обособленное подразделение на территории Алтайского края в установленном законодательством порядке более 12 меся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цев; 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иметь не менее одного факта уплаты в краевой бюджет в текущем финансовом году исчисленных в соответствии с налоговым законодательством сумм налогов, авансовых платежей по налогам, сборов, страховых взносов, обязанность уплаты которых возникла в текуще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м финансовом году; 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иметь среднесписочную численность работников в текущем финансовом году не менее 2 человек (для субъектов с проектом по направлениям «Развитие торговли»; «Ремесленное мастерство» - не менее 1 человека); 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иметь лицензию на осуществление мед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ицинской деятельности (для субъектов, реализующих или планирующих к реализации проект в сфере здравоохранения);</w:t>
      </w:r>
      <w:r/>
    </w:p>
    <w:p>
      <w:pPr>
        <w:ind w:firstLine="708"/>
        <w:jc w:val="both"/>
        <w:spacing w:lineRule="auto" w:line="240" w:after="0" w:before="0"/>
        <w:tabs>
          <w:tab w:val="left" w:pos="8381" w:leader="none"/>
        </w:tabs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иметь средний уровень заработной платы в расчете на одного работника не менее размера минимальной заработной платы, установленной в Региональном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 соглашении о размере минимальной заработной платы в Алтайском крае для работников внебюджетного сектора экономики.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ab/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  <w:highlight w:val="none"/>
        </w:rPr>
        <w:t xml:space="preserve">3. Порядок оценки заявок конкурсной комиссией и его критерии</w:t>
      </w:r>
      <w:r>
        <w:rPr>
          <w:b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Проект участника обора рассматривается конкурсной комиссией: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исходя из его содержания по следующим разделам: общее описание 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проекта; описание товаров (работ, услуг); план маркетинга; производственный 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план; план реализации; смета расходов; ожидаемый результат реализации; 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исходя из экономической обоснованности его реализации, которая 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выражается в виде планируемого увеличения показателей деятельности 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субъекта по итогам реализации проекта; </w:t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исходя из затрат и их соответствия (несоответствия) заявленным в 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проекте расходам концепции, сути, цели проекта.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В случае отсутствия в проекте какого-либо из разделов (в том числе 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описания его содержания), указанных в абзаце втором, третьем и четвертом 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настоящего пункта, а также в случае несоответствия заявленных в проекте 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расходов его концепции, сути, цели такой проект не подлежит оценке и 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считается не прошедшим конкурсный отбор и не допускается до дальнейшего 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  <w:t xml:space="preserve">рассмотрения.</w:t>
      </w:r>
      <w:r>
        <w:rPr>
          <w:rFonts w:ascii="PT Astra Serif" w:hAnsi="PT Astra Serif" w:cs="PT Astra Serif" w:eastAsia="PT Astra Serif"/>
          <w:b w:val="false"/>
          <w:sz w:val="28"/>
          <w:highlight w:val="none"/>
        </w:rPr>
      </w:r>
      <w:r/>
    </w:p>
    <w:p>
      <w:pPr>
        <w:ind w:firstLine="709"/>
        <w:jc w:val="both"/>
        <w:widowControl w:val="off"/>
        <w:tabs>
          <w:tab w:val="left" w:pos="6566" w:leader="none"/>
        </w:tabs>
        <w:rPr>
          <w:rFonts w:ascii="PT Astra Serif" w:hAnsi="PT Astra Serif" w:cs="Arial"/>
          <w:sz w:val="28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Arial"/>
          <w:sz w:val="28"/>
          <w:highlight w:val="none"/>
        </w:rPr>
      </w:r>
      <w:r>
        <w:rPr>
          <w:rFonts w:ascii="PT Astra Serif" w:hAnsi="PT Astra Serif" w:cs="Arial"/>
          <w:sz w:val="28"/>
          <w:szCs w:val="28"/>
          <w:highlight w:val="none"/>
        </w:rPr>
        <w:t xml:space="preserve">Проекты участников отбора, прошедшие </w:t>
      </w:r>
      <w:r>
        <w:rPr>
          <w:rFonts w:ascii="PT Astra Serif" w:hAnsi="PT Astra Serif" w:cs="Arial"/>
          <w:sz w:val="28"/>
          <w:szCs w:val="28"/>
          <w:highlight w:val="none"/>
        </w:rPr>
        <w:t xml:space="preserve">оценку содержания</w:t>
      </w:r>
      <w:r>
        <w:rPr>
          <w:rFonts w:ascii="PT Astra Serif" w:hAnsi="PT Astra Serif" w:cs="Arial"/>
          <w:sz w:val="28"/>
          <w:szCs w:val="28"/>
          <w:highlight w:val="none"/>
        </w:rPr>
        <w:t xml:space="preserve">, рассматриваются конкурсной комиссией по следующим критериям:</w:t>
      </w:r>
      <w:r>
        <w:rPr>
          <w:rFonts w:ascii="PT Astra Serif" w:hAnsi="PT Astra Serif" w:cs="Arial"/>
          <w:sz w:val="28"/>
          <w:szCs w:val="28"/>
          <w:highlight w:val="none"/>
        </w:rPr>
      </w:r>
      <w:r/>
    </w:p>
    <w:tbl>
      <w:tblPr>
        <w:tblStyle w:val="561"/>
        <w:tblW w:w="0" w:type="auto"/>
        <w:tblInd w:w="53" w:type="dxa"/>
        <w:tblLayout w:type="fixed"/>
        <w:tblLook w:val="04A0" w:firstRow="1" w:lastRow="0" w:firstColumn="1" w:lastColumn="0" w:noHBand="0" w:noVBand="1"/>
      </w:tblPr>
      <w:tblGrid>
        <w:gridCol w:w="4732"/>
        <w:gridCol w:w="4394"/>
      </w:tblGrid>
      <w:tr>
        <w:trPr>
          <w:trHeight w:val="334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none" w:color="000000" w:sz="4" w:space="0"/>
            </w:tcBorders>
            <w:tcW w:w="4732" w:type="dxa"/>
            <w:textDirection w:val="lrTb"/>
            <w:noWrap w:val="false"/>
          </w:tcPr>
          <w:p>
            <w:pPr>
              <w:ind w:left="0" w:right="-108" w:firstLine="0"/>
              <w:jc w:val="center"/>
              <w:spacing w:lineRule="atLeast" w:line="181"/>
              <w:widowControl w:val="off"/>
              <w:tabs>
                <w:tab w:val="left" w:pos="6566" w:leader="none"/>
              </w:tabs>
              <w:rPr>
                <w:rFonts w:ascii="PT Astra Serif" w:hAnsi="PT Astra Serif" w:cs="Arial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Arial"/>
                <w:sz w:val="24"/>
                <w:highlight w:val="none"/>
              </w:rPr>
              <w:t xml:space="preserve">Критерии</w:t>
            </w:r>
            <w:r>
              <w:rPr>
                <w:rFonts w:ascii="PT Astra Serif" w:hAnsi="PT Astra Serif" w:cs="Arial"/>
                <w:sz w:val="24"/>
                <w:szCs w:val="28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none" w:color="000000" w:sz="4" w:space="0"/>
            </w:tcBorders>
            <w:tcW w:w="4394" w:type="dxa"/>
            <w:textDirection w:val="lrTb"/>
            <w:noWrap w:val="false"/>
          </w:tcPr>
          <w:p>
            <w:pPr>
              <w:ind w:left="0" w:right="-108" w:firstLine="0"/>
              <w:jc w:val="center"/>
              <w:spacing w:lineRule="atLeast" w:line="181"/>
              <w:widowControl w:val="off"/>
              <w:tabs>
                <w:tab w:val="left" w:pos="6566" w:leader="none"/>
              </w:tabs>
              <w:rPr>
                <w:rFonts w:ascii="PT Astra Serif" w:hAnsi="PT Astra Serif" w:cs="Arial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Arial"/>
                <w:sz w:val="24"/>
                <w:highlight w:val="none"/>
              </w:rPr>
              <w:t xml:space="preserve">Весовое значение</w:t>
            </w:r>
            <w:r>
              <w:rPr>
                <w:rFonts w:ascii="PT Astra Serif" w:hAnsi="PT Astra Serif" w:cs="Arial"/>
                <w:sz w:val="24"/>
                <w:szCs w:val="28"/>
                <w:highlight w:val="none"/>
              </w:rPr>
            </w:r>
            <w:r/>
          </w:p>
        </w:tc>
      </w:tr>
    </w:tbl>
    <w:tbl>
      <w:tblPr>
        <w:tblW w:w="0" w:type="auto"/>
        <w:tblInd w:w="0" w:type="dxa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739"/>
        <w:gridCol w:w="4394"/>
      </w:tblGrid>
      <w:tr>
        <w:trPr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739" w:type="dxa"/>
            <w:vMerge w:val="restart"/>
            <w:textDirection w:val="lrTb"/>
            <w:noWrap w:val="false"/>
          </w:tcPr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394" w:type="dxa"/>
            <w:vMerge w:val="restart"/>
            <w:textDirection w:val="lrTb"/>
            <w:noWrap w:val="false"/>
          </w:tcPr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/>
          </w:p>
        </w:tc>
      </w:tr>
      <w:tr>
        <w:trPr>
          <w:jc w:val="left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739" w:type="dxa"/>
            <w:textDirection w:val="lrTb"/>
            <w:noWrap w:val="false"/>
          </w:tcPr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color w:val="000000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Уровень среднемесячной заработной платы одного работника в отчетном периоде текущего финансового года, предшествующем дате подачи документов</w:t>
            </w:r>
            <w:r>
              <w:rPr>
                <w:rFonts w:ascii="PT Astra Serif" w:hAnsi="PT Astra Serif" w:cs="PT Astra Serif" w:eastAsia="PT Astra Serif"/>
                <w:color w:val="000000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394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lineRule="atLeast" w:line="180" w:after="0" w:before="0"/>
              <w:shd w:val="clear" w:color="auto" w:fill="auto"/>
              <w:rPr>
                <w:rFonts w:ascii="PT Astra Serif" w:hAnsi="PT Astra Serif" w:cs="PT Astra Serif" w:eastAsia="PT Astra Serif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равное</w:t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 размеру</w:t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</w:r>
            <w:r/>
          </w:p>
          <w:p>
            <w:pPr>
              <w:ind w:left="0" w:right="0" w:firstLine="0"/>
              <w:jc w:val="center"/>
              <w:spacing w:lineRule="atLeast" w:line="180" w:after="0" w:before="0"/>
              <w:shd w:val="clear" w:color="auto" w:fill="auto"/>
              <w:rPr>
                <w:rFonts w:ascii="PT Astra Serif" w:hAnsi="PT Astra Serif" w:cs="PT Astra Serif" w:eastAsia="PT Astra Serif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минимальной </w:t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 заработной платы, установленной </w:t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в р</w:t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егиональном соглашении о размере минимальной заработной платы в Алтайском крае для работников внебюджетного се</w:t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ктора экономики (21 070 руб.) и до 25 000 руб. включительно - 1 балл; </w:t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highlight w:val="none"/>
              </w:rPr>
            </w:r>
            <w:r/>
          </w:p>
          <w:p>
            <w:pPr>
              <w:ind w:left="0" w:right="0" w:firstLine="0"/>
              <w:jc w:val="center"/>
              <w:spacing w:lineRule="atLeast" w:line="180" w:after="0" w:before="0"/>
              <w:shd w:val="clear" w:color="auto" w:fill="auto"/>
              <w:rPr>
                <w:rFonts w:ascii="PT Astra Serif" w:hAnsi="PT Astra Serif" w:cs="PT Astra Serif" w:eastAsia="PT Astra Serif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свыше 25 000 руб. - 2 балла </w:t>
            </w:r>
            <w:r>
              <w:rPr>
                <w:rFonts w:ascii="PT Astra Serif" w:hAnsi="PT Astra Serif" w:cs="PT Astra Serif" w:eastAsia="PT Astra Serif"/>
                <w:highlight w:val="none"/>
              </w:rPr>
            </w:r>
            <w:r/>
          </w:p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color w:val="000000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color w:val="000000"/>
                <w:highlight w:val="none"/>
              </w:rPr>
            </w:r>
            <w:r/>
          </w:p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color w:val="000000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trike/>
                <w:color w:val="000000"/>
                <w:highlight w:val="none"/>
              </w:rPr>
            </w:r>
            <w:r>
              <w:rPr>
                <w:rFonts w:ascii="PT Astra Serif" w:hAnsi="PT Astra Serif" w:cs="PT Astra Serif" w:eastAsia="PT Astra Serif"/>
                <w:color w:val="000000"/>
                <w:highlight w:val="none"/>
              </w:rPr>
            </w:r>
            <w:r/>
          </w:p>
        </w:tc>
      </w:tr>
      <w:tr>
        <w:trPr>
          <w:jc w:val="left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739" w:type="dxa"/>
            <w:textDirection w:val="lrTb"/>
            <w:noWrap w:val="false"/>
          </w:tcPr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Отношение совокупного объема уплаченных налогов за год, предшествующий году участия в конкурсном отборе, к объему заявленной суммы гранта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394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lineRule="atLeast" w:line="180" w:after="0" w:before="0"/>
              <w:shd w:val="clear" w:color="auto" w:fill="auto"/>
              <w:rPr>
                <w:rFonts w:ascii="PT Astra Serif" w:hAnsi="PT Astra Serif" w:cs="PT Astra Serif" w:eastAsia="PT Astra Serif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до 0,5 включительно - 0 баллов;</w:t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</w:r>
            <w:r/>
          </w:p>
          <w:p>
            <w:pPr>
              <w:ind w:left="0" w:right="0" w:firstLine="0"/>
              <w:jc w:val="center"/>
              <w:spacing w:lineRule="atLeast" w:line="180" w:after="0" w:before="0"/>
              <w:shd w:val="clear" w:color="auto" w:fill="auto"/>
              <w:rPr>
                <w:rFonts w:ascii="PT Astra Serif" w:hAnsi="PT Astra Serif" w:cs="PT Astra Serif" w:eastAsia="PT Astra Serif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свыше 0,5 до 1 включительно - 1 балл;</w:t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</w:r>
            <w:r/>
          </w:p>
          <w:p>
            <w:pPr>
              <w:ind w:left="0" w:right="0" w:firstLine="0"/>
              <w:jc w:val="center"/>
              <w:spacing w:lineRule="atLeast" w:line="180" w:after="0" w:before="0"/>
              <w:shd w:val="clear" w:color="auto" w:fill="auto"/>
              <w:rPr>
                <w:rFonts w:ascii="PT Astra Serif" w:hAnsi="PT Astra Serif" w:cs="PT Astra Serif" w:eastAsia="PT Astra Serif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  <w:t xml:space="preserve">свыше 1 - 2 балла</w:t>
            </w:r>
            <w:r>
              <w:rPr>
                <w:rFonts w:ascii="PT Astra Serif" w:hAnsi="PT Astra Serif" w:cs="PT Astra Serif" w:eastAsia="PT Astra Serif"/>
                <w:strike w:val="false"/>
                <w:sz w:val="24"/>
                <w:highlight w:val="none"/>
              </w:rPr>
            </w:r>
            <w:r/>
          </w:p>
        </w:tc>
      </w:tr>
      <w:tr>
        <w:trPr>
          <w:jc w:val="left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739" w:type="dxa"/>
            <w:textDirection w:val="lrTb"/>
            <w:noWrap w:val="false"/>
          </w:tcPr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color w:val="000000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Доля собственных средств в общей стоимости проекта</w:t>
            </w:r>
            <w:r>
              <w:rPr>
                <w:rFonts w:ascii="PT Astra Serif" w:hAnsi="PT Astra Serif" w:cs="PT Astra Serif" w:eastAsia="PT Astra Serif"/>
                <w:color w:val="000000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394" w:type="dxa"/>
            <w:textDirection w:val="lrTb"/>
            <w:noWrap w:val="false"/>
          </w:tcPr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color w:val="000000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от 30% до 50% включительно - 1 балл;</w:t>
            </w:r>
            <w:r>
              <w:rPr>
                <w:rFonts w:ascii="PT Astra Serif" w:hAnsi="PT Astra Serif" w:cs="PT Astra Serif" w:eastAsia="PT Astra Serif"/>
                <w:color w:val="000000"/>
                <w:highlight w:val="none"/>
              </w:rPr>
            </w:r>
            <w:r/>
          </w:p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color w:val="000000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свыше 50% - 2 балла</w:t>
            </w:r>
            <w:r>
              <w:rPr>
                <w:rFonts w:ascii="PT Astra Serif" w:hAnsi="PT Astra Serif" w:cs="PT Astra Serif" w:eastAsia="PT Astra Serif"/>
                <w:color w:val="000000"/>
                <w:highlight w:val="none"/>
              </w:rPr>
            </w:r>
            <w:r/>
          </w:p>
        </w:tc>
      </w:tr>
      <w:tr>
        <w:trPr>
          <w:jc w:val="left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739" w:type="dxa"/>
            <w:textDirection w:val="lrTb"/>
            <w:noWrap w:val="false"/>
          </w:tcPr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color w:val="000000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Созда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ние 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новых постоянных 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ра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бочих мест путем увеличения списочной численности работников (кроме проектов по направлениям «Развитие торговли»; «Ремесленное мастерство»)</w:t>
            </w:r>
            <w:r>
              <w:rPr>
                <w:rFonts w:ascii="PT Astra Serif" w:hAnsi="PT Astra Serif" w:cs="PT Astra Serif" w:eastAsia="PT Astra Serif"/>
                <w:color w:val="000000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394" w:type="dxa"/>
            <w:textDirection w:val="lrTb"/>
            <w:noWrap w:val="false"/>
          </w:tcPr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color w:val="000000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не предусмотрено увеличения списочной численности - 0 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баллов;</w:t>
            </w:r>
            <w:r>
              <w:rPr>
                <w:rFonts w:ascii="PT Astra Serif" w:hAnsi="PT Astra Serif" w:cs="PT Astra Serif" w:eastAsia="PT Astra Serif"/>
                <w:color w:val="000000"/>
                <w:highlight w:val="none"/>
              </w:rPr>
            </w:r>
            <w:r/>
          </w:p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color w:val="000000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предусмотрено увеличение списочной численности на 1 человека 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- 1 балл;</w:t>
            </w:r>
            <w:r>
              <w:rPr>
                <w:rFonts w:ascii="PT Astra Serif" w:hAnsi="PT Astra Serif" w:cs="PT Astra Serif" w:eastAsia="PT Astra Serif"/>
                <w:color w:val="000000"/>
                <w:highlight w:val="none"/>
              </w:rPr>
            </w:r>
            <w:r/>
          </w:p>
          <w:p>
            <w:pPr>
              <w:ind w:left="0" w:right="0" w:firstLine="540"/>
              <w:jc w:val="center"/>
              <w:spacing w:lineRule="atLeast" w:line="180" w:after="0" w:before="0"/>
              <w:rPr>
                <w:rFonts w:ascii="PT Astra Serif" w:hAnsi="PT Astra Serif" w:cs="PT Astra Serif" w:eastAsia="PT Astra Serif"/>
                <w:color w:val="000000"/>
                <w:highlight w:val="none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предусмотрено увеличение списочной численности на 2 человека и более - 2 балла</w:t>
            </w:r>
            <w:r>
              <w:rPr>
                <w:rFonts w:ascii="PT Astra Serif" w:hAnsi="PT Astra Serif" w:cs="PT Astra Serif" w:eastAsia="PT Astra Serif"/>
                <w:color w:val="000000"/>
                <w:highlight w:val="none"/>
              </w:rPr>
            </w:r>
            <w:r/>
          </w:p>
        </w:tc>
      </w:tr>
    </w:tbl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</w:rPr>
        <w:t xml:space="preserve">Конкурсная комиссия присваивает дополнительный балл субъектам, реализующим проект в труднодоступных и отдаленных местностях в Алтайском крае, поименованных в </w:t>
      </w:r>
      <w:hyperlink r:id="rId12" w:tooltip="https://login.consultant.ru/link/?req=doc&amp;base=RLAW016&amp;n=112792&amp;date=31.01.2024" w:history="1">
        <w:r>
          <w:rPr>
            <w:rFonts w:ascii="PT Astra Serif" w:hAnsi="PT Astra Serif" w:cs="PT Astra Serif" w:eastAsia="PT Astra Serif"/>
            <w:sz w:val="28"/>
          </w:rPr>
          <w:t xml:space="preserve">законе</w:t>
        </w:r>
      </w:hyperlink>
      <w:r>
        <w:rPr>
          <w:rFonts w:ascii="PT Astra Serif" w:hAnsi="PT Astra Serif" w:cs="PT Astra Serif" w:eastAsia="PT Astra Serif"/>
          <w:sz w:val="28"/>
        </w:rPr>
        <w:t xml:space="preserve"> Алтайского края от 01.12.2003 № 61-ЗС «О труднодоступных и отдаленных местностях в Алтайском крае» (при условии, что проект реализуется только в такой местности).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 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sz w:val="28"/>
        </w:rPr>
        <w:t xml:space="preserve">Прошедшими конкурсный отбор признаются проекты субъектов, набравшие в сумме по критериям </w:t>
      </w:r>
      <w:r>
        <w:rPr>
          <w:rFonts w:ascii="PT Astra Serif" w:hAnsi="PT Astra Serif" w:cs="PT Astra Serif" w:eastAsia="PT Astra Serif"/>
          <w:sz w:val="28"/>
        </w:rPr>
        <w:t xml:space="preserve">не менее 4 баллов</w:t>
      </w:r>
      <w:r>
        <w:rPr>
          <w:rFonts w:ascii="PT Astra Serif" w:hAnsi="PT Astra Serif" w:cs="PT Astra Serif" w:eastAsia="PT Astra Serif"/>
          <w:sz w:val="28"/>
        </w:rPr>
        <w:t xml:space="preserve"> </w:t>
      </w:r>
      <w:r>
        <w:rPr>
          <w:rFonts w:ascii="PT Astra Serif" w:hAnsi="PT Astra Serif" w:cs="PT Astra Serif" w:eastAsia="PT Astra Serif"/>
          <w:sz w:val="28"/>
        </w:rPr>
        <w:t xml:space="preserve">(по направлениям «Развитие торговли»; «Ремесленное мастерство» </w:t>
      </w:r>
      <w:r>
        <w:rPr>
          <w:rFonts w:ascii="PT Astra Serif" w:hAnsi="PT Astra Serif" w:cs="PT Astra Serif" w:eastAsia="PT Astra Serif"/>
          <w:sz w:val="28"/>
        </w:rPr>
        <w:t xml:space="preserve">- </w:t>
      </w:r>
      <w:r>
        <w:rPr>
          <w:rFonts w:ascii="PT Astra Serif" w:hAnsi="PT Astra Serif" w:cs="PT Astra Serif" w:eastAsia="PT Astra Serif"/>
          <w:sz w:val="28"/>
        </w:rPr>
        <w:t xml:space="preserve">не менее 3 балло</w:t>
      </w:r>
      <w:r>
        <w:rPr>
          <w:rFonts w:ascii="PT Astra Serif" w:hAnsi="PT Astra Serif" w:cs="PT Astra Serif" w:eastAsia="PT Astra Serif"/>
          <w:sz w:val="28"/>
        </w:rPr>
        <w:t xml:space="preserve">в</w:t>
      </w:r>
      <w:r>
        <w:rPr>
          <w:rFonts w:ascii="PT Astra Serif" w:hAnsi="PT Astra Serif" w:cs="PT Astra Serif" w:eastAsia="PT Astra Serif"/>
          <w:sz w:val="28"/>
        </w:rPr>
        <w:t xml:space="preserve">) и прошедшие </w:t>
      </w:r>
      <w:r>
        <w:rPr>
          <w:rFonts w:ascii="PT Astra Serif" w:hAnsi="PT Astra Serif" w:cs="PT Astra Serif" w:eastAsia="PT Astra Serif"/>
          <w:sz w:val="28"/>
        </w:rPr>
        <w:t xml:space="preserve">оценку содержания.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493"/>
        <w:ind w:firstLine="0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pStyle w:val="493"/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4. Дата размещения результатов проведения отбора на едином портале, а также на официальном сайте управления в информационно-телекоммуникационной сети «Интернет».</w:t>
      </w:r>
      <w:r/>
    </w:p>
    <w:p>
      <w:pPr>
        <w:pStyle w:val="493"/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В течение 3 рабочих дней со дня принятия приказа о предоставлении гранта управление размещает на своем официальном сайте (</w:t>
      </w:r>
      <w:hyperlink r:id="rId13" w:tooltip="http://www.altsmb.ru/" w:history="1">
        <w:r>
          <w:rPr>
            <w:rStyle w:val="526"/>
            <w:rFonts w:ascii="PT Astra Serif" w:hAnsi="PT Astra Serif" w:cs="PT Astra Serif" w:eastAsia="PT Astra Serif"/>
            <w:sz w:val="28"/>
            <w:szCs w:val="28"/>
          </w:rPr>
          <w:t xml:space="preserve">www.altsmb.ru</w:t>
        </w:r>
      </w:hyperlink>
      <w:r>
        <w:rPr>
          <w:rFonts w:ascii="PT Astra Serif" w:hAnsi="PT Astra Serif" w:cs="PT Astra Serif" w:eastAsia="PT Astra Serif"/>
          <w:sz w:val="28"/>
          <w:szCs w:val="28"/>
        </w:rPr>
        <w:t xml:space="preserve">) его текст, а также иную информацию, предусмотренную подпунктом «г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» пункта 22 постановления Правительства Российской Федерации от 25.10.2023 № 1782 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«О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субсидий».</w:t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708"/>
        <w:jc w:val="both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ind w:firstLine="0"/>
        <w:jc w:val="left"/>
        <w:spacing w:lineRule="auto" w:line="240" w:after="0" w:before="0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19.09.2024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Devanagari">
    <w:panose1 w:val="020B05020405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5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57"/>
      <w:jc w:val="right"/>
    </w:pPr>
    <w:r>
      <w:fldChar w:fldCharType="begin"/>
    </w:r>
    <w:r>
      <w:instrText xml:space="preserve"> PAGE </w:instrText>
    </w:r>
    <w:r>
      <w:fldChar w:fldCharType="separate"/>
    </w:r>
    <w:r>
      <w:t xml:space="preserve">7</w:t>
    </w:r>
    <w:r>
      <w:fldChar w:fldCharType="end"/>
    </w:r>
    <w:r/>
  </w:p>
  <w:p>
    <w:pPr>
      <w:pStyle w:val="55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sz w:val="22"/>
        <w:szCs w:val="22"/>
        <w:lang w:val="ru-RU" w:bidi="ar-SA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93" w:default="1">
    <w:name w:val="Normal"/>
    <w:qFormat/>
    <w:rPr>
      <w:rFonts w:ascii="Calibri" w:hAnsi="Calibri" w:cs="Calibri" w:eastAsia="Calibri"/>
      <w:color w:val="auto"/>
      <w:sz w:val="22"/>
      <w:szCs w:val="22"/>
      <w:lang w:val="ru-RU" w:bidi="ar-SA" w:eastAsia="en-US"/>
    </w:rPr>
    <w:pPr>
      <w:jc w:val="left"/>
      <w:spacing w:lineRule="auto" w:line="276" w:after="200" w:afterAutospacing="0" w:before="0" w:beforeAutospacing="0"/>
      <w:widowControl/>
    </w:pPr>
  </w:style>
  <w:style w:type="paragraph" w:styleId="494">
    <w:name w:val="Heading 1"/>
    <w:basedOn w:val="493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495">
    <w:name w:val="Heading 2"/>
    <w:basedOn w:val="49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496">
    <w:name w:val="Heading 3"/>
    <w:basedOn w:val="49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97">
    <w:name w:val="Heading 4"/>
    <w:basedOn w:val="49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98">
    <w:name w:val="Heading 5"/>
    <w:basedOn w:val="49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499">
    <w:name w:val="Heading 6"/>
    <w:basedOn w:val="493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500">
    <w:name w:val="Heading 7"/>
    <w:basedOn w:val="49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501">
    <w:name w:val="Heading 8"/>
    <w:basedOn w:val="49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502">
    <w:name w:val="Heading 9"/>
    <w:basedOn w:val="493"/>
    <w:qFormat/>
    <w:rPr>
      <w:rFonts w:ascii="Times New Roman" w:hAnsi="Times New Roman" w:cs="Times New Roman" w:eastAsia="Times New Roman"/>
      <w:sz w:val="28"/>
      <w:szCs w:val="20"/>
      <w:lang w:eastAsia="ru-RU"/>
    </w:rPr>
    <w:pPr>
      <w:jc w:val="right"/>
      <w:keepNext/>
      <w:spacing w:lineRule="auto" w:line="240" w:after="0" w:before="0"/>
      <w:outlineLvl w:val="8"/>
    </w:pPr>
  </w:style>
  <w:style w:type="character" w:styleId="503">
    <w:name w:val="Heading 1 Char"/>
    <w:basedOn w:val="525"/>
    <w:qFormat/>
    <w:uiPriority w:val="9"/>
    <w:rPr>
      <w:rFonts w:ascii="Arial" w:hAnsi="Arial" w:cs="Arial" w:eastAsia="Arial"/>
      <w:sz w:val="40"/>
      <w:szCs w:val="40"/>
    </w:rPr>
  </w:style>
  <w:style w:type="character" w:styleId="504">
    <w:name w:val="Heading 2 Char"/>
    <w:basedOn w:val="525"/>
    <w:qFormat/>
    <w:uiPriority w:val="9"/>
    <w:rPr>
      <w:rFonts w:ascii="Arial" w:hAnsi="Arial" w:cs="Arial" w:eastAsia="Arial"/>
      <w:sz w:val="34"/>
    </w:rPr>
  </w:style>
  <w:style w:type="character" w:styleId="505">
    <w:name w:val="Heading 3 Char"/>
    <w:basedOn w:val="525"/>
    <w:qFormat/>
    <w:uiPriority w:val="9"/>
    <w:rPr>
      <w:rFonts w:ascii="Arial" w:hAnsi="Arial" w:cs="Arial" w:eastAsia="Arial"/>
      <w:sz w:val="30"/>
      <w:szCs w:val="30"/>
    </w:rPr>
  </w:style>
  <w:style w:type="character" w:styleId="506">
    <w:name w:val="Heading 4 Char"/>
    <w:basedOn w:val="525"/>
    <w:qFormat/>
    <w:uiPriority w:val="9"/>
    <w:rPr>
      <w:rFonts w:ascii="Arial" w:hAnsi="Arial" w:cs="Arial" w:eastAsia="Arial"/>
      <w:b/>
      <w:bCs/>
      <w:sz w:val="26"/>
      <w:szCs w:val="26"/>
    </w:rPr>
  </w:style>
  <w:style w:type="character" w:styleId="507">
    <w:name w:val="Heading 5 Char"/>
    <w:basedOn w:val="525"/>
    <w:qFormat/>
    <w:uiPriority w:val="9"/>
    <w:rPr>
      <w:rFonts w:ascii="Arial" w:hAnsi="Arial" w:cs="Arial" w:eastAsia="Arial"/>
      <w:b/>
      <w:bCs/>
      <w:sz w:val="24"/>
      <w:szCs w:val="24"/>
    </w:rPr>
  </w:style>
  <w:style w:type="character" w:styleId="508">
    <w:name w:val="Heading 6 Char"/>
    <w:basedOn w:val="525"/>
    <w:qFormat/>
    <w:uiPriority w:val="9"/>
    <w:rPr>
      <w:rFonts w:ascii="Arial" w:hAnsi="Arial" w:cs="Arial" w:eastAsia="Arial"/>
      <w:b/>
      <w:bCs/>
      <w:sz w:val="22"/>
      <w:szCs w:val="22"/>
    </w:rPr>
  </w:style>
  <w:style w:type="character" w:styleId="509">
    <w:name w:val="Heading 7 Char"/>
    <w:basedOn w:val="525"/>
    <w:qFormat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10">
    <w:name w:val="Heading 8 Char"/>
    <w:basedOn w:val="525"/>
    <w:qFormat/>
    <w:uiPriority w:val="9"/>
    <w:rPr>
      <w:rFonts w:ascii="Arial" w:hAnsi="Arial" w:cs="Arial" w:eastAsia="Arial"/>
      <w:i/>
      <w:iCs/>
      <w:sz w:val="22"/>
      <w:szCs w:val="22"/>
    </w:rPr>
  </w:style>
  <w:style w:type="character" w:styleId="511">
    <w:name w:val="Heading 9 Char"/>
    <w:basedOn w:val="525"/>
    <w:qFormat/>
    <w:uiPriority w:val="9"/>
    <w:rPr>
      <w:rFonts w:ascii="Arial" w:hAnsi="Arial" w:cs="Arial" w:eastAsia="Arial"/>
      <w:i/>
      <w:iCs/>
      <w:sz w:val="21"/>
      <w:szCs w:val="21"/>
    </w:rPr>
  </w:style>
  <w:style w:type="character" w:styleId="512">
    <w:name w:val="Title Char"/>
    <w:basedOn w:val="525"/>
    <w:qFormat/>
    <w:uiPriority w:val="10"/>
    <w:rPr>
      <w:sz w:val="48"/>
      <w:szCs w:val="48"/>
    </w:rPr>
  </w:style>
  <w:style w:type="character" w:styleId="513">
    <w:name w:val="Subtitle Char"/>
    <w:basedOn w:val="525"/>
    <w:qFormat/>
    <w:uiPriority w:val="11"/>
    <w:rPr>
      <w:sz w:val="24"/>
      <w:szCs w:val="24"/>
    </w:rPr>
  </w:style>
  <w:style w:type="character" w:styleId="514">
    <w:name w:val="Quote Char"/>
    <w:qFormat/>
    <w:uiPriority w:val="29"/>
    <w:rPr>
      <w:i/>
    </w:rPr>
  </w:style>
  <w:style w:type="character" w:styleId="515">
    <w:name w:val="Intense Quote Char"/>
    <w:qFormat/>
    <w:uiPriority w:val="30"/>
    <w:rPr>
      <w:i/>
    </w:rPr>
  </w:style>
  <w:style w:type="character" w:styleId="516">
    <w:name w:val="Header Char"/>
    <w:basedOn w:val="525"/>
    <w:qFormat/>
    <w:uiPriority w:val="99"/>
  </w:style>
  <w:style w:type="character" w:styleId="517">
    <w:name w:val="Footer Char"/>
    <w:basedOn w:val="525"/>
    <w:qFormat/>
    <w:uiPriority w:val="99"/>
  </w:style>
  <w:style w:type="character" w:styleId="518">
    <w:name w:val="Caption Char"/>
    <w:qFormat/>
    <w:uiPriority w:val="99"/>
  </w:style>
  <w:style w:type="character" w:styleId="519">
    <w:name w:val="Footnote Text Char"/>
    <w:qFormat/>
    <w:uiPriority w:val="99"/>
    <w:rPr>
      <w:sz w:val="18"/>
    </w:rPr>
  </w:style>
  <w:style w:type="character" w:styleId="520">
    <w:name w:val="Символ сноски"/>
    <w:qFormat/>
    <w:uiPriority w:val="99"/>
    <w:unhideWhenUsed/>
    <w:rPr>
      <w:vertAlign w:val="superscript"/>
    </w:rPr>
  </w:style>
  <w:style w:type="character" w:styleId="521">
    <w:name w:val="footnote reference"/>
    <w:rPr>
      <w:vertAlign w:val="superscript"/>
    </w:rPr>
  </w:style>
  <w:style w:type="character" w:styleId="522">
    <w:name w:val="Endnote Text Char"/>
    <w:qFormat/>
    <w:uiPriority w:val="99"/>
    <w:rPr>
      <w:sz w:val="20"/>
    </w:rPr>
  </w:style>
  <w:style w:type="character" w:styleId="523">
    <w:name w:val="Символ концевой сноски"/>
    <w:qFormat/>
    <w:uiPriority w:val="99"/>
    <w:semiHidden/>
    <w:unhideWhenUsed/>
    <w:rPr>
      <w:vertAlign w:val="superscript"/>
    </w:rPr>
  </w:style>
  <w:style w:type="character" w:styleId="524">
    <w:name w:val="endnote reference"/>
    <w:rPr>
      <w:vertAlign w:val="superscript"/>
    </w:rPr>
  </w:style>
  <w:style w:type="character" w:styleId="525" w:default="1">
    <w:name w:val="Default Paragraph Font"/>
    <w:qFormat/>
    <w:uiPriority w:val="1"/>
    <w:semiHidden/>
    <w:unhideWhenUsed/>
  </w:style>
  <w:style w:type="character" w:styleId="526">
    <w:name w:val="Hyperlink"/>
    <w:basedOn w:val="525"/>
    <w:uiPriority w:val="99"/>
    <w:unhideWhenUsed/>
    <w:rPr>
      <w:color w:val="0000FF" w:themeColor="hyperlink"/>
      <w:u w:val="single"/>
    </w:rPr>
  </w:style>
  <w:style w:type="character" w:styleId="527" w:customStyle="1">
    <w:name w:val="Верхний колонтитул Знак"/>
    <w:basedOn w:val="525"/>
    <w:qFormat/>
    <w:uiPriority w:val="99"/>
  </w:style>
  <w:style w:type="character" w:styleId="528" w:customStyle="1">
    <w:name w:val="Нижний колонтитул Знак"/>
    <w:basedOn w:val="525"/>
    <w:qFormat/>
    <w:uiPriority w:val="99"/>
  </w:style>
  <w:style w:type="character" w:styleId="529" w:customStyle="1">
    <w:name w:val="Заголовок 9 Знак"/>
    <w:basedOn w:val="525"/>
    <w:qFormat/>
    <w:rPr>
      <w:rFonts w:ascii="Times New Roman" w:hAnsi="Times New Roman" w:cs="Times New Roman" w:eastAsia="Times New Roman"/>
      <w:sz w:val="28"/>
      <w:szCs w:val="20"/>
      <w:lang w:eastAsia="ru-RU"/>
    </w:rPr>
  </w:style>
  <w:style w:type="character" w:styleId="530" w:customStyle="1">
    <w:name w:val="Текст выноски Знак"/>
    <w:basedOn w:val="525"/>
    <w:qFormat/>
    <w:uiPriority w:val="99"/>
    <w:semiHidden/>
    <w:rPr>
      <w:rFonts w:ascii="Tahoma" w:hAnsi="Tahoma" w:cs="Tahoma"/>
      <w:sz w:val="16"/>
      <w:szCs w:val="16"/>
    </w:rPr>
  </w:style>
  <w:style w:type="paragraph" w:styleId="531">
    <w:name w:val="Заголовок"/>
    <w:basedOn w:val="493"/>
    <w:next w:val="532"/>
    <w:qFormat/>
    <w:rPr>
      <w:rFonts w:ascii="Liberation Sans" w:hAnsi="Liberation Sans" w:cs="Noto Sans Devanagari" w:eastAsia="Tahoma"/>
      <w:sz w:val="28"/>
      <w:szCs w:val="28"/>
    </w:rPr>
    <w:pPr>
      <w:keepNext/>
      <w:spacing w:after="120" w:before="240"/>
    </w:pPr>
  </w:style>
  <w:style w:type="paragraph" w:styleId="532">
    <w:name w:val="Body Text"/>
    <w:basedOn w:val="493"/>
    <w:pPr>
      <w:spacing w:lineRule="auto" w:line="276" w:after="140" w:before="0"/>
    </w:pPr>
  </w:style>
  <w:style w:type="paragraph" w:styleId="533">
    <w:name w:val="List"/>
    <w:basedOn w:val="532"/>
    <w:rPr>
      <w:rFonts w:cs="Noto Sans Devanagari"/>
    </w:rPr>
  </w:style>
  <w:style w:type="paragraph" w:styleId="534">
    <w:name w:val="Caption"/>
    <w:basedOn w:val="493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paragraph" w:styleId="535">
    <w:name w:val="Указатель"/>
    <w:basedOn w:val="493"/>
    <w:qFormat/>
    <w:rPr>
      <w:rFonts w:cs="Noto Sans Devanagari"/>
    </w:rPr>
    <w:pPr>
      <w:suppressLineNumbers/>
    </w:pPr>
  </w:style>
  <w:style w:type="paragraph" w:styleId="536">
    <w:name w:val="No Spacing"/>
    <w:qFormat/>
    <w:uiPriority w:val="1"/>
    <w:rPr>
      <w:rFonts w:ascii="Calibri" w:hAnsi="Calibri" w:cs="Calibri" w:eastAsia="Calibri"/>
      <w:color w:val="auto"/>
      <w:sz w:val="22"/>
      <w:szCs w:val="22"/>
      <w:lang w:val="ru-RU" w:bidi="ar-SA" w:eastAsia="en-US"/>
    </w:rPr>
    <w:pPr>
      <w:jc w:val="left"/>
      <w:spacing w:lineRule="auto" w:line="240" w:after="0" w:afterAutospacing="0" w:before="0" w:beforeAutospacing="0"/>
      <w:widowControl/>
    </w:pPr>
  </w:style>
  <w:style w:type="paragraph" w:styleId="537">
    <w:name w:val="Title"/>
    <w:basedOn w:val="493"/>
    <w:qFormat/>
    <w:uiPriority w:val="10"/>
    <w:rPr>
      <w:sz w:val="48"/>
      <w:szCs w:val="48"/>
    </w:rPr>
    <w:pPr>
      <w:contextualSpacing w:val="true"/>
      <w:spacing w:after="200" w:before="300"/>
    </w:pPr>
  </w:style>
  <w:style w:type="paragraph" w:styleId="538">
    <w:name w:val="Subtitle"/>
    <w:basedOn w:val="493"/>
    <w:qFormat/>
    <w:uiPriority w:val="11"/>
    <w:rPr>
      <w:sz w:val="24"/>
      <w:szCs w:val="24"/>
    </w:rPr>
    <w:pPr>
      <w:spacing w:after="200" w:before="200"/>
    </w:pPr>
  </w:style>
  <w:style w:type="paragraph" w:styleId="539">
    <w:name w:val="Quote"/>
    <w:basedOn w:val="493"/>
    <w:qFormat/>
    <w:uiPriority w:val="29"/>
    <w:rPr>
      <w:i/>
    </w:rPr>
    <w:pPr>
      <w:ind w:left="720" w:right="720" w:firstLine="0"/>
    </w:pPr>
  </w:style>
  <w:style w:type="paragraph" w:styleId="540">
    <w:name w:val="Intense Quote"/>
    <w:basedOn w:val="493"/>
    <w:qFormat/>
    <w:uiPriority w:val="30"/>
    <w:rPr>
      <w:i/>
    </w:rPr>
    <w:pPr>
      <w:ind w:left="720" w:right="720" w:firstLine="0"/>
      <w:spacing w:after="200" w:before="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paragraph" w:styleId="541">
    <w:name w:val="footnote text"/>
    <w:basedOn w:val="493"/>
    <w:uiPriority w:val="99"/>
    <w:semiHidden/>
    <w:unhideWhenUsed/>
    <w:rPr>
      <w:sz w:val="18"/>
    </w:rPr>
    <w:pPr>
      <w:spacing w:lineRule="auto" w:line="240" w:after="40" w:before="0"/>
    </w:pPr>
  </w:style>
  <w:style w:type="paragraph" w:styleId="542">
    <w:name w:val="endnote text"/>
    <w:basedOn w:val="493"/>
    <w:uiPriority w:val="99"/>
    <w:semiHidden/>
    <w:unhideWhenUsed/>
    <w:rPr>
      <w:sz w:val="20"/>
    </w:rPr>
    <w:pPr>
      <w:spacing w:lineRule="auto" w:line="240" w:after="0" w:before="0"/>
    </w:pPr>
  </w:style>
  <w:style w:type="paragraph" w:styleId="543">
    <w:name w:val="toc 1"/>
    <w:basedOn w:val="493"/>
    <w:uiPriority w:val="39"/>
    <w:unhideWhenUsed/>
    <w:pPr>
      <w:ind w:left="0" w:right="0" w:firstLine="0"/>
      <w:spacing w:after="57" w:before="0"/>
    </w:pPr>
  </w:style>
  <w:style w:type="paragraph" w:styleId="544">
    <w:name w:val="toc 2"/>
    <w:basedOn w:val="493"/>
    <w:uiPriority w:val="39"/>
    <w:unhideWhenUsed/>
    <w:pPr>
      <w:ind w:left="283" w:right="0" w:firstLine="0"/>
      <w:spacing w:after="57" w:before="0"/>
    </w:pPr>
  </w:style>
  <w:style w:type="paragraph" w:styleId="545">
    <w:name w:val="toc 3"/>
    <w:basedOn w:val="493"/>
    <w:uiPriority w:val="39"/>
    <w:unhideWhenUsed/>
    <w:pPr>
      <w:ind w:left="567" w:right="0" w:firstLine="0"/>
      <w:spacing w:after="57" w:before="0"/>
    </w:pPr>
  </w:style>
  <w:style w:type="paragraph" w:styleId="546">
    <w:name w:val="toc 4"/>
    <w:basedOn w:val="493"/>
    <w:uiPriority w:val="39"/>
    <w:unhideWhenUsed/>
    <w:pPr>
      <w:ind w:left="850" w:right="0" w:firstLine="0"/>
      <w:spacing w:after="57" w:before="0"/>
    </w:pPr>
  </w:style>
  <w:style w:type="paragraph" w:styleId="547">
    <w:name w:val="toc 5"/>
    <w:basedOn w:val="493"/>
    <w:uiPriority w:val="39"/>
    <w:unhideWhenUsed/>
    <w:pPr>
      <w:ind w:left="1134" w:right="0" w:firstLine="0"/>
      <w:spacing w:after="57" w:before="0"/>
    </w:pPr>
  </w:style>
  <w:style w:type="paragraph" w:styleId="548">
    <w:name w:val="toc 6"/>
    <w:basedOn w:val="493"/>
    <w:uiPriority w:val="39"/>
    <w:unhideWhenUsed/>
    <w:pPr>
      <w:ind w:left="1417" w:right="0" w:firstLine="0"/>
      <w:spacing w:after="57" w:before="0"/>
    </w:pPr>
  </w:style>
  <w:style w:type="paragraph" w:styleId="549">
    <w:name w:val="toc 7"/>
    <w:basedOn w:val="493"/>
    <w:uiPriority w:val="39"/>
    <w:unhideWhenUsed/>
    <w:pPr>
      <w:ind w:left="1701" w:right="0" w:firstLine="0"/>
      <w:spacing w:after="57" w:before="0"/>
    </w:pPr>
  </w:style>
  <w:style w:type="paragraph" w:styleId="550">
    <w:name w:val="toc 8"/>
    <w:basedOn w:val="493"/>
    <w:uiPriority w:val="39"/>
    <w:unhideWhenUsed/>
    <w:pPr>
      <w:ind w:left="1984" w:right="0" w:firstLine="0"/>
      <w:spacing w:after="57" w:before="0"/>
    </w:pPr>
  </w:style>
  <w:style w:type="paragraph" w:styleId="551">
    <w:name w:val="toc 9"/>
    <w:basedOn w:val="493"/>
    <w:uiPriority w:val="39"/>
    <w:unhideWhenUsed/>
    <w:pPr>
      <w:ind w:left="2268" w:right="0" w:firstLine="0"/>
      <w:spacing w:after="57" w:before="0"/>
    </w:pPr>
  </w:style>
  <w:style w:type="paragraph" w:styleId="552">
    <w:name w:val="Index Heading"/>
    <w:basedOn w:val="531"/>
  </w:style>
  <w:style w:type="paragraph" w:styleId="553">
    <w:name w:val="TOC Heading"/>
    <w:uiPriority w:val="39"/>
    <w:unhideWhenUsed/>
    <w:rPr>
      <w:rFonts w:ascii="Calibri" w:hAnsi="Calibri" w:cs="Calibri" w:eastAsia="Calibri"/>
      <w:color w:val="auto"/>
      <w:sz w:val="22"/>
      <w:szCs w:val="22"/>
      <w:lang w:val="ru-RU" w:bidi="ar-SA" w:eastAsia="en-US"/>
    </w:rPr>
    <w:pPr>
      <w:jc w:val="left"/>
      <w:spacing w:lineRule="auto" w:line="276" w:after="200" w:afterAutospacing="0" w:before="0" w:beforeAutospacing="0"/>
      <w:widowControl/>
    </w:pPr>
  </w:style>
  <w:style w:type="paragraph" w:styleId="554" w:customStyle="1">
    <w:name w:val="ConsPlusNormal"/>
    <w:qFormat/>
    <w:rPr>
      <w:rFonts w:ascii="Calibri" w:hAnsi="Calibri" w:cs="Calibri" w:eastAsia="Times New Roman"/>
      <w:color w:val="auto"/>
      <w:sz w:val="22"/>
      <w:szCs w:val="22"/>
      <w:lang w:val="ru-RU" w:bidi="ar-SA" w:eastAsia="ru-RU"/>
    </w:rPr>
    <w:pPr>
      <w:jc w:val="left"/>
      <w:spacing w:lineRule="auto" w:line="240" w:after="0" w:afterAutospacing="0" w:before="0" w:beforeAutospacing="0"/>
      <w:widowControl/>
    </w:pPr>
  </w:style>
  <w:style w:type="paragraph" w:styleId="555">
    <w:name w:val="List Paragraph"/>
    <w:basedOn w:val="493"/>
    <w:qFormat/>
    <w:uiPriority w:val="34"/>
    <w:pPr>
      <w:contextualSpacing w:val="true"/>
      <w:ind w:left="720" w:firstLine="0"/>
      <w:spacing w:after="200" w:before="0"/>
    </w:pPr>
  </w:style>
  <w:style w:type="paragraph" w:styleId="556">
    <w:name w:val="Колонтитул"/>
    <w:basedOn w:val="493"/>
    <w:qFormat/>
  </w:style>
  <w:style w:type="paragraph" w:styleId="557">
    <w:name w:val="Header"/>
    <w:basedOn w:val="493"/>
    <w:uiPriority w:val="99"/>
    <w:unhideWhenUsed/>
    <w:pPr>
      <w:spacing w:lineRule="auto" w:line="240" w:after="0" w:before="0"/>
      <w:tabs>
        <w:tab w:val="clear" w:pos="708" w:leader="none"/>
        <w:tab w:val="center" w:pos="4677" w:leader="none"/>
        <w:tab w:val="right" w:pos="9355" w:leader="none"/>
      </w:tabs>
    </w:pPr>
  </w:style>
  <w:style w:type="paragraph" w:styleId="558">
    <w:name w:val="Footer"/>
    <w:basedOn w:val="493"/>
    <w:uiPriority w:val="99"/>
    <w:unhideWhenUsed/>
    <w:pPr>
      <w:spacing w:lineRule="auto" w:line="240" w:after="0" w:before="0"/>
      <w:tabs>
        <w:tab w:val="clear" w:pos="708" w:leader="none"/>
        <w:tab w:val="center" w:pos="4677" w:leader="none"/>
        <w:tab w:val="right" w:pos="9355" w:leader="none"/>
      </w:tabs>
    </w:pPr>
  </w:style>
  <w:style w:type="paragraph" w:styleId="559">
    <w:name w:val="Balloon Text"/>
    <w:basedOn w:val="493"/>
    <w:qFormat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 w:before="0"/>
    </w:pPr>
  </w:style>
  <w:style w:type="numbering" w:styleId="560" w:default="1">
    <w:name w:val="No List"/>
    <w:qFormat/>
    <w:uiPriority w:val="99"/>
    <w:semiHidden/>
    <w:unhideWhenUsed/>
  </w:style>
  <w:style w:type="table" w:styleId="561">
    <w:name w:val="Table Grid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62">
    <w:name w:val="Table Grid Light"/>
    <w:uiPriority w:val="59"/>
    <w:pPr>
      <w:spacing w:lineRule="auto" w:line="240" w:after="0"/>
    </w:pPr>
    <w:tblPr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63">
    <w:name w:val="Plain Table 1"/>
    <w:uiPriority w:val="59"/>
    <w:pPr>
      <w:spacing w:lineRule="auto" w:line="240" w:after="0"/>
    </w:pPr>
    <w:tblPr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FFFFFF" w:themeFill="text1" w:themeFillTint="00"/>
      </w:tcPr>
    </w:tblStylePr>
    <w:tblStylePr w:type="band1Vert">
      <w:tcPr>
        <w:shd w:val="clear" w:fill="FFFFFF" w:color="FFFFFF" w:themeFill="text1" w:themeFillTint="0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564">
    <w:name w:val="Plain Table 2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565">
    <w:name w:val="Plain Table 3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fill="FFFFFF" w:color="FFFFFF" w:themeFill="text1" w:themeFillTint="00"/>
      </w:tcPr>
    </w:tblStylePr>
    <w:tblStylePr w:type="band1Vert">
      <w:rPr>
        <w:color w:val="404040"/>
        <w:sz w:val="22"/>
      </w:rPr>
      <w:tcPr>
        <w:shd w:val="clear" w:fill="FFFFFF" w:color="FFFFFF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66">
    <w:name w:val="Plain Table 4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fill="FFFFFF" w:color="FFFFFF" w:themeFill="text1" w:themeFillTint="00"/>
      </w:tcPr>
    </w:tblStylePr>
    <w:tblStylePr w:type="band1Vert">
      <w:rPr>
        <w:color w:val="404040"/>
        <w:sz w:val="22"/>
      </w:rPr>
      <w:tcPr>
        <w:shd w:val="clear" w:fill="FFFFFF" w:color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7">
    <w:name w:val="Plain Table 5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fill="FFFFFF" w:color="FFFFFF" w:themeFill="text1" w:themeFillTint="00"/>
      </w:tcPr>
    </w:tblStylePr>
    <w:tblStylePr w:type="band1Vert">
      <w:rPr>
        <w:color w:val="404040"/>
        <w:sz w:val="22"/>
      </w:rPr>
      <w:tcPr>
        <w:shd w:val="clear" w:fill="FFFFFF" w:color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68">
    <w:name w:val="Grid Table 1 Light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9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1"/>
          <w:top w:val="single" w:color="000000" w:sz="4" w:space="0" w:themeColor="accent1"/>
          <w:right w:val="single" w:color="000000" w:sz="4" w:space="0" w:themeColor="accent1"/>
          <w:bottom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0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2"/>
          <w:top w:val="single" w:color="000000" w:sz="4" w:space="0" w:themeColor="accent2"/>
          <w:right w:val="single" w:color="000000" w:sz="4" w:space="0" w:themeColor="accent2"/>
          <w:bottom w:val="single" w:color="000000" w:sz="4" w:space="0" w:themeColor="accent2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1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3"/>
          <w:top w:val="single" w:color="000000" w:sz="4" w:space="0" w:themeColor="accent3"/>
          <w:right w:val="single" w:color="000000" w:sz="4" w:space="0" w:themeColor="accent3"/>
          <w:bottom w:val="single" w:color="000000" w:sz="4" w:space="0" w:themeColor="accent3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2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4"/>
          <w:top w:val="single" w:color="000000" w:sz="4" w:space="0" w:themeColor="accent4"/>
          <w:right w:val="single" w:color="000000" w:sz="4" w:space="0" w:themeColor="accent4"/>
          <w:bottom w:val="single" w:color="000000" w:sz="4" w:space="0" w:themeColor="accent4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3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4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5">
    <w:name w:val="Grid Table 2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76">
    <w:name w:val="Grid Table 2 - Accent 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77">
    <w:name w:val="Grid Table 2 - Accent 2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78">
    <w:name w:val="Grid Table 2 - Accent 3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79">
    <w:name w:val="Grid Table 2 - Accent 4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80">
    <w:name w:val="Grid Table 2 - Accent 5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81">
    <w:name w:val="Grid Table 2 - Accent 6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82">
    <w:name w:val="Grid Table 3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3">
    <w:name w:val="Grid Table 3 - Accent 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4">
    <w:name w:val="Grid Table 3 - Accent 2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5">
    <w:name w:val="Grid Table 3 - Accent 3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6">
    <w:name w:val="Grid Table 3 - Accent 4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7">
    <w:name w:val="Grid Table 3 - Accent 5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8">
    <w:name w:val="Grid Table 3 - Accent 6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9">
    <w:name w:val="Grid Table 4"/>
    <w:uiPriority w:val="5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90">
    <w:name w:val="Grid Table 4 - Accent 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1" w:themeFillTint="32"/>
      </w:tcPr>
    </w:tblStylePr>
    <w:tblStylePr w:type="band1Vert">
      <w:rPr>
        <w:color w:val="404040"/>
        <w:sz w:val="22"/>
      </w:rPr>
      <w:tcPr>
        <w:shd w:val="clear" w:fill="FFFFFF" w:color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1" w:themeFillTint="EA"/>
        <w:tcBorders>
          <w:left w:val="single" w:color="000000" w:sz="4" w:space="0" w:themeColor="accent1"/>
          <w:top w:val="single" w:color="000000" w:sz="4" w:space="0" w:themeColor="accent1"/>
          <w:right w:val="single" w:color="000000" w:sz="4" w:space="0" w:themeColor="accent1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/>
        </w:tcBorders>
      </w:tcPr>
    </w:tblStylePr>
  </w:style>
  <w:style w:type="table" w:styleId="591">
    <w:name w:val="Grid Table 4 - Accent 2"/>
    <w:uiPriority w:val="5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2" w:themeFillTint="97"/>
        <w:tcBorders>
          <w:left w:val="single" w:color="000000" w:sz="4" w:space="0" w:themeColor="accent2"/>
          <w:top w:val="single" w:color="000000" w:sz="4" w:space="0" w:themeColor="accent2"/>
          <w:right w:val="single" w:color="000000" w:sz="4" w:space="0" w:themeColor="accent2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/>
        </w:tcBorders>
      </w:tcPr>
    </w:tblStylePr>
  </w:style>
  <w:style w:type="table" w:styleId="592">
    <w:name w:val="Grid Table 4 - Accent 3"/>
    <w:uiPriority w:val="5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3" w:themeFillTint="FE"/>
        <w:tcBorders>
          <w:left w:val="single" w:color="000000" w:sz="4" w:space="0" w:themeColor="accent3"/>
          <w:top w:val="single" w:color="000000" w:sz="4" w:space="0" w:themeColor="accent3"/>
          <w:right w:val="single" w:color="000000" w:sz="4" w:space="0" w:themeColor="accent3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/>
        </w:tcBorders>
      </w:tcPr>
    </w:tblStylePr>
  </w:style>
  <w:style w:type="table" w:styleId="593">
    <w:name w:val="Grid Table 4 - Accent 4"/>
    <w:uiPriority w:val="5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4" w:themeFillTint="9A"/>
        <w:tcBorders>
          <w:left w:val="single" w:color="000000" w:sz="4" w:space="0" w:themeColor="accent4"/>
          <w:top w:val="single" w:color="000000" w:sz="4" w:space="0" w:themeColor="accent4"/>
          <w:right w:val="single" w:color="000000" w:sz="4" w:space="0" w:themeColor="accent4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/>
        </w:tcBorders>
      </w:tcPr>
    </w:tblStylePr>
  </w:style>
  <w:style w:type="table" w:styleId="594">
    <w:name w:val="Grid Table 4 - Accent 5"/>
    <w:uiPriority w:val="5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95">
    <w:name w:val="Grid Table 4 - Accent 6"/>
    <w:uiPriority w:val="5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96">
    <w:name w:val="Grid Table 5 Dark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</w:tblPr>
    <w:tblStylePr w:type="band1Horz">
      <w:tcPr>
        <w:shd w:val="clear" w:fill="FFFFFF" w:color="FFFFFF" w:themeFill="text1" w:themeFillTint="75"/>
      </w:tcPr>
    </w:tblStylePr>
    <w:tblStylePr w:type="band1Vert">
      <w:tcPr>
        <w:shd w:val="clear" w:fill="FFFFFF" w:color="FFFFFF" w:themeFill="text1" w:themeFillTint="75"/>
      </w:tcPr>
    </w:tblStylePr>
    <w:tblStylePr w:type="firstCol">
      <w:rPr>
        <w:b/>
        <w:color w:val="FFFFFF"/>
        <w:sz w:val="22"/>
      </w:rPr>
      <w:tcPr>
        <w:shd w:val="clear" w:fill="FFFFFF" w:color="FFFFFF" w:themeFill="text1"/>
      </w:tcPr>
    </w:tblStylePr>
    <w:tblStylePr w:type="firstRow">
      <w:rPr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FFFFFF"/>
        <w:sz w:val="22"/>
      </w:rPr>
      <w:tcPr>
        <w:shd w:val="clear" w:fill="FFFFFF" w:color="FFFFFF" w:themeFill="text1"/>
      </w:tcPr>
    </w:tblStylePr>
    <w:tblStylePr w:type="lastRow">
      <w:rPr>
        <w:b/>
        <w:color w:val="FFFFFF"/>
        <w:sz w:val="22"/>
      </w:rPr>
      <w:tcPr>
        <w:shd w:val="clear" w:fill="FFFFFF" w:color="FFFFFF" w:themeFill="text1"/>
        <w:tcBorders>
          <w:top w:val="single" w:color="000000" w:sz="4" w:space="0" w:themeColor="light1"/>
        </w:tcBorders>
      </w:tcPr>
    </w:tblStylePr>
  </w:style>
  <w:style w:type="table" w:styleId="597">
    <w:name w:val="Grid Table 5 Dark- Accent 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</w:tblPr>
    <w:tblStylePr w:type="band1Horz">
      <w:tcPr>
        <w:shd w:val="clear" w:fill="FFFFFF" w:color="FFFFFF" w:themeFill="accent1" w:themeFillTint="75"/>
      </w:tcPr>
    </w:tblStylePr>
    <w:tblStylePr w:type="band1Vert">
      <w:tcPr>
        <w:shd w:val="clear" w:fill="FFFFFF" w:color="FFFFFF" w:themeFill="accent1" w:themeFillTint="75"/>
      </w:tcPr>
    </w:tblStylePr>
    <w:tblStylePr w:type="firstCol">
      <w:rPr>
        <w:b/>
        <w:color w:val="FFFFFF"/>
        <w:sz w:val="22"/>
      </w:rPr>
      <w:tcPr>
        <w:shd w:val="clear" w:fill="FFFFFF" w:color="FFFFFF" w:themeFill="accent1"/>
      </w:tcPr>
    </w:tblStylePr>
    <w:tblStylePr w:type="firstRow">
      <w:rPr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FFFFFF"/>
        <w:sz w:val="22"/>
      </w:rPr>
      <w:tcPr>
        <w:shd w:val="clear" w:fill="FFFFFF" w:color="FFFFFF" w:themeFill="accent1"/>
      </w:tcPr>
    </w:tblStylePr>
    <w:tblStylePr w:type="lastRow">
      <w:rPr>
        <w:b/>
        <w:color w:val="FFFFFF"/>
        <w:sz w:val="22"/>
      </w:rPr>
      <w:tcPr>
        <w:shd w:val="clear" w:fill="FFFFFF" w:color="FFFFFF" w:themeFill="accent1"/>
        <w:tcBorders>
          <w:top w:val="single" w:color="000000" w:sz="4" w:space="0" w:themeColor="light1"/>
        </w:tcBorders>
      </w:tcPr>
    </w:tblStylePr>
  </w:style>
  <w:style w:type="table" w:styleId="598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</w:tblPr>
    <w:tblStylePr w:type="band1Horz">
      <w:tcPr>
        <w:shd w:val="clear" w:fill="FFFFFF" w:color="FFFFFF" w:themeFill="accent2" w:themeFillTint="75"/>
      </w:tcPr>
    </w:tblStylePr>
    <w:tblStylePr w:type="band1Vert">
      <w:tcPr>
        <w:shd w:val="clear" w:fill="FFFFFF" w:color="FFFFFF" w:themeFill="accent2" w:themeFillTint="75"/>
      </w:tcPr>
    </w:tblStylePr>
    <w:tblStylePr w:type="firstCol">
      <w:rPr>
        <w:b/>
        <w:color w:val="FFFFFF"/>
        <w:sz w:val="22"/>
      </w:rPr>
      <w:tcPr>
        <w:shd w:val="clear" w:fill="FFFFFF" w:color="FFFFFF" w:themeFill="accent2"/>
      </w:tcPr>
    </w:tblStylePr>
    <w:tblStylePr w:type="firstRow">
      <w:rPr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FFFFFF"/>
        <w:sz w:val="22"/>
      </w:rPr>
      <w:tcPr>
        <w:shd w:val="clear" w:fill="FFFFFF" w:color="FFFFFF" w:themeFill="accent2"/>
      </w:tcPr>
    </w:tblStylePr>
    <w:tblStylePr w:type="lastRow">
      <w:rPr>
        <w:b/>
        <w:color w:val="FFFFFF"/>
        <w:sz w:val="22"/>
      </w:rPr>
      <w:tcPr>
        <w:shd w:val="clear" w:fill="FFFFFF" w:color="FFFFFF" w:themeFill="accent2"/>
        <w:tcBorders>
          <w:top w:val="single" w:color="000000" w:sz="4" w:space="0" w:themeColor="light1"/>
        </w:tcBorders>
      </w:tcPr>
    </w:tblStylePr>
  </w:style>
  <w:style w:type="table" w:styleId="599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</w:tblPr>
    <w:tblStylePr w:type="band1Horz">
      <w:tcPr>
        <w:shd w:val="clear" w:fill="FFFFFF" w:color="FFFFFF" w:themeFill="accent3" w:themeFillTint="75"/>
      </w:tcPr>
    </w:tblStylePr>
    <w:tblStylePr w:type="band1Vert">
      <w:tcPr>
        <w:shd w:val="clear" w:fill="FFFFFF" w:color="FFFFFF" w:themeFill="accent3" w:themeFillTint="75"/>
      </w:tcPr>
    </w:tblStylePr>
    <w:tblStylePr w:type="firstCol">
      <w:rPr>
        <w:b/>
        <w:color w:val="FFFFFF"/>
        <w:sz w:val="22"/>
      </w:rPr>
      <w:tcPr>
        <w:shd w:val="clear" w:fill="FFFFFF" w:color="FFFFFF" w:themeFill="accent3"/>
      </w:tcPr>
    </w:tblStylePr>
    <w:tblStylePr w:type="firstRow">
      <w:rPr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FFFFFF"/>
        <w:sz w:val="22"/>
      </w:rPr>
      <w:tcPr>
        <w:shd w:val="clear" w:fill="FFFFFF" w:color="FFFFFF" w:themeFill="accent3"/>
      </w:tcPr>
    </w:tblStylePr>
    <w:tblStylePr w:type="lastRow">
      <w:rPr>
        <w:b/>
        <w:color w:val="FFFFFF"/>
        <w:sz w:val="22"/>
      </w:rPr>
      <w:tcPr>
        <w:shd w:val="clear" w:fill="FFFFFF" w:color="FFFFFF" w:themeFill="accent3"/>
        <w:tcBorders>
          <w:top w:val="single" w:color="000000" w:sz="4" w:space="0" w:themeColor="light1"/>
        </w:tcBorders>
      </w:tcPr>
    </w:tblStylePr>
  </w:style>
  <w:style w:type="table" w:styleId="600">
    <w:name w:val="Grid Table 5 Dark- Accent 4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</w:tblPr>
    <w:tblStylePr w:type="band1Horz">
      <w:tcPr>
        <w:shd w:val="clear" w:fill="FFFFFF" w:color="FFFFFF" w:themeFill="accent4" w:themeFillTint="75"/>
      </w:tcPr>
    </w:tblStylePr>
    <w:tblStylePr w:type="band1Vert">
      <w:tcPr>
        <w:shd w:val="clear" w:fill="FFFFFF" w:color="FFFFFF" w:themeFill="accent4" w:themeFillTint="75"/>
      </w:tcPr>
    </w:tblStylePr>
    <w:tblStylePr w:type="firstCol">
      <w:rPr>
        <w:b/>
        <w:color w:val="FFFFFF"/>
        <w:sz w:val="22"/>
      </w:rPr>
      <w:tcPr>
        <w:shd w:val="clear" w:fill="FFFFFF" w:color="FFFFFF" w:themeFill="accent4"/>
      </w:tcPr>
    </w:tblStylePr>
    <w:tblStylePr w:type="firstRow">
      <w:rPr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FFFFFF"/>
        <w:sz w:val="22"/>
      </w:rPr>
      <w:tcPr>
        <w:shd w:val="clear" w:fill="FFFFFF" w:color="FFFFFF" w:themeFill="accent4"/>
      </w:tcPr>
    </w:tblStylePr>
    <w:tblStylePr w:type="lastRow">
      <w:rPr>
        <w:b/>
        <w:color w:val="FFFFFF"/>
        <w:sz w:val="22"/>
      </w:rPr>
      <w:tcPr>
        <w:shd w:val="clear" w:fill="FFFFFF" w:color="FFFFFF" w:themeFill="accent4"/>
        <w:tcBorders>
          <w:top w:val="single" w:color="000000" w:sz="4" w:space="0" w:themeColor="light1"/>
        </w:tcBorders>
      </w:tcPr>
    </w:tblStylePr>
  </w:style>
  <w:style w:type="table" w:styleId="601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</w:tblPr>
    <w:tblStylePr w:type="band1Horz">
      <w:tcPr>
        <w:shd w:val="clear" w:fill="FFFFFF" w:color="FFFFFF" w:themeFill="accent5" w:themeFillTint="75"/>
      </w:tcPr>
    </w:tblStylePr>
    <w:tblStylePr w:type="band1Vert">
      <w:tcPr>
        <w:shd w:val="clear" w:fill="FFFFFF" w:color="FFFFFF" w:themeFill="accent5" w:themeFillTint="75"/>
      </w:tcPr>
    </w:tblStylePr>
    <w:tblStylePr w:type="firstCol">
      <w:rPr>
        <w:b/>
        <w:color w:val="FFFFFF"/>
        <w:sz w:val="22"/>
      </w:rPr>
      <w:tcPr>
        <w:shd w:val="clear" w:fill="FFFFFF" w:color="FFFFFF" w:themeFill="accent5"/>
      </w:tcPr>
    </w:tblStylePr>
    <w:tblStylePr w:type="firstRow">
      <w:rPr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FFFFFF"/>
        <w:sz w:val="22"/>
      </w:rPr>
      <w:tcPr>
        <w:shd w:val="clear" w:fill="FFFFFF" w:color="FFFFFF" w:themeFill="accent5"/>
      </w:tcPr>
    </w:tblStylePr>
    <w:tblStylePr w:type="lastRow">
      <w:rPr>
        <w:b/>
        <w:color w:val="FFFFFF"/>
        <w:sz w:val="22"/>
      </w:rPr>
      <w:tcPr>
        <w:shd w:val="clear" w:fill="FFFFFF" w:color="FFFFFF" w:themeFill="accent5"/>
        <w:tcBorders>
          <w:top w:val="single" w:color="000000" w:sz="4" w:space="0" w:themeColor="light1"/>
        </w:tcBorders>
      </w:tcPr>
    </w:tblStylePr>
  </w:style>
  <w:style w:type="table" w:styleId="602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</w:tblPr>
    <w:tblStylePr w:type="band1Horz">
      <w:tcPr>
        <w:shd w:val="clear" w:fill="FFFFFF" w:color="FFFFFF" w:themeFill="accent6" w:themeFillTint="75"/>
      </w:tcPr>
    </w:tblStylePr>
    <w:tblStylePr w:type="band1Vert">
      <w:tcPr>
        <w:shd w:val="clear" w:fill="FFFFFF" w:color="FFFFFF" w:themeFill="accent6" w:themeFillTint="75"/>
      </w:tcPr>
    </w:tblStylePr>
    <w:tblStylePr w:type="firstCol">
      <w:rPr>
        <w:b/>
        <w:color w:val="FFFFFF"/>
        <w:sz w:val="22"/>
      </w:rPr>
      <w:tcPr>
        <w:shd w:val="clear" w:fill="FFFFFF" w:color="FFFFFF" w:themeFill="accent6"/>
      </w:tcPr>
    </w:tblStylePr>
    <w:tblStylePr w:type="firstRow">
      <w:rPr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FFFFFF"/>
        <w:sz w:val="22"/>
      </w:rPr>
      <w:tcPr>
        <w:shd w:val="clear" w:fill="FFFFFF" w:color="FFFFFF" w:themeFill="accent6"/>
      </w:tcPr>
    </w:tblStylePr>
    <w:tblStylePr w:type="lastRow">
      <w:rPr>
        <w:b/>
        <w:color w:val="FFFFFF"/>
        <w:sz w:val="22"/>
      </w:rPr>
      <w:tcPr>
        <w:shd w:val="clear" w:fill="FFFFFF" w:color="FFFFFF" w:themeFill="accent6"/>
        <w:tcBorders>
          <w:top w:val="single" w:color="000000" w:sz="4" w:space="0" w:themeColor="light1"/>
        </w:tcBorders>
      </w:tcPr>
    </w:tblStylePr>
  </w:style>
  <w:style w:type="table" w:styleId="603">
    <w:name w:val="Grid Table 6 Colorful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color w:val="404040" w:themeColor="text1" w:themeTint="80" w:themeShade="95"/>
        <w:sz w:val="22"/>
      </w:rPr>
      <w:tcPr>
        <w:shd w:val="clear" w:fill="FFFFFF" w:color="FFFFFF" w:themeFill="text1" w:themeFillTint="34"/>
      </w:tcPr>
    </w:tblStylePr>
    <w:tblStylePr w:type="band1Vert">
      <w:tcPr>
        <w:shd w:val="clear" w:fill="FFFFFF" w:color="FFFFFF" w:themeFill="text1" w:themeFillTint="34"/>
      </w:tcPr>
    </w:tblStylePr>
    <w:tblStylePr w:type="band2Horz">
      <w:rPr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color w:val="404040" w:themeColor="text1" w:themeTint="80" w:themeShade="95"/>
        <w:sz w:val="22"/>
      </w:rPr>
    </w:tblStylePr>
  </w:style>
  <w:style w:type="table" w:styleId="604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color w:val="404040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color w:val="404040" w:themeColor="accent1" w:themeTint="80" w:themeShade="95"/>
        <w:sz w:val="22"/>
      </w:rPr>
    </w:tblStylePr>
  </w:style>
  <w:style w:type="table" w:styleId="605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color w:val="404040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color w:val="404040" w:themeColor="accent2" w:themeTint="97" w:themeShade="95"/>
        <w:sz w:val="22"/>
      </w:rPr>
    </w:tblStylePr>
  </w:style>
  <w:style w:type="table" w:styleId="606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color w:val="40404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color w:val="404040" w:themeColor="accent3" w:themeTint="FE" w:themeShade="95"/>
        <w:sz w:val="22"/>
      </w:rPr>
    </w:tblStylePr>
  </w:style>
  <w:style w:type="table" w:styleId="607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color w:val="40404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color w:val="404040" w:themeColor="accent4" w:themeTint="9A" w:themeShade="95"/>
        <w:sz w:val="22"/>
      </w:rPr>
    </w:tblStylePr>
  </w:style>
  <w:style w:type="table" w:styleId="608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color w:val="404040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color w:val="404040" w:themeColor="accent5" w:themeShade="95"/>
        <w:sz w:val="22"/>
      </w:rPr>
    </w:tblStylePr>
  </w:style>
  <w:style w:type="table" w:styleId="609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color w:val="404040" w:themeColor="accent5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color w:val="404040" w:themeColor="accent5" w:themeShade="95"/>
        <w:sz w:val="22"/>
      </w:rPr>
    </w:tblStylePr>
  </w:style>
  <w:style w:type="table" w:styleId="610">
    <w:name w:val="Grid Table 7 Colorful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color w:val="4A4A4A" w:themeColor="text1" w:themeTint="80" w:themeShade="95"/>
        <w:sz w:val="22"/>
      </w:rPr>
      <w:tcPr>
        <w:shd w:val="clear" w:fill="FFFFFF" w:color="FFFFFF" w:themeFill="text1" w:themeFillTint="00"/>
      </w:tcPr>
    </w:tblStylePr>
    <w:tblStylePr w:type="band1Vert">
      <w:tcPr>
        <w:shd w:val="clear" w:fill="FFFFFF" w:color="FFFFFF" w:themeFill="text1" w:themeFillTint="0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text1"/>
          <w:bottom w:val="none" w:color="000000" w:sz="4" w:space="0"/>
        </w:tcBorders>
      </w:tcPr>
    </w:tblStylePr>
    <w:tblStylePr w:type="firstRow">
      <w:rPr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val="clear" w:fill="FFFFFF" w:color="FFFFFF"/>
        <w:tcBorders>
          <w:left w:val="single" w:color="000000" w:sz="4" w:space="0" w:themeColor="tex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11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color w:val="3E70A3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color w:val="3E70A3" w:themeColor="accent1" w:themeTint="80" w:themeShade="95"/>
        <w:sz w:val="22"/>
      </w:rPr>
    </w:tblStylePr>
    <w:tblStylePr w:type="firstCol">
      <w:rPr>
        <w:i/>
        <w:color w:val="3E70A3" w:themeColor="accen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b/>
        <w:color w:val="3E70A3" w:themeColor="accen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i/>
        <w:color w:val="3E70A3" w:themeColor="accent1" w:themeTint="80" w:themeShade="95"/>
        <w:sz w:val="22"/>
      </w:rPr>
      <w:tcPr>
        <w:shd w:val="clear" w:fill="FFFFFF"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3E70A3" w:themeColor="accen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12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color w:val="9C3A37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color w:val="9C3A37" w:themeColor="accent2" w:themeTint="97" w:themeShade="95"/>
        <w:sz w:val="22"/>
      </w:rPr>
    </w:tblStylePr>
    <w:tblStylePr w:type="firstCol">
      <w:rPr>
        <w:i/>
        <w:color w:val="9C3A37" w:themeColor="accent2" w:themeTint="97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2"/>
          <w:bottom w:val="none" w:color="000000" w:sz="4" w:space="0"/>
        </w:tcBorders>
      </w:tcPr>
    </w:tblStylePr>
    <w:tblStylePr w:type="firstRow">
      <w:rPr>
        <w:b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i/>
        <w:color w:val="9C3A37" w:themeColor="accent2" w:themeTint="97" w:themeShade="95"/>
        <w:sz w:val="22"/>
      </w:rPr>
      <w:tcPr>
        <w:shd w:val="clear" w:fill="FFFFFF" w:color="FFFFFF"/>
        <w:tcBorders>
          <w:left w:val="single" w:color="000000" w:sz="4" w:space="0" w:themeColor="accent2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613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color w:val="5C702F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color w:val="5C702F" w:themeColor="accent3" w:themeTint="FE" w:themeShade="95"/>
        <w:sz w:val="22"/>
      </w:rPr>
    </w:tblStylePr>
    <w:tblStylePr w:type="firstCol">
      <w:rPr>
        <w:i/>
        <w:color w:val="5C702F" w:themeColor="accent3" w:themeTint="FE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3"/>
          <w:bottom w:val="none" w:color="000000" w:sz="4" w:space="0"/>
        </w:tcBorders>
      </w:tcPr>
    </w:tblStylePr>
    <w:tblStylePr w:type="firstRow">
      <w:rPr>
        <w:b/>
        <w:color w:val="5C702F" w:themeColor="accent3" w:themeTint="FE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i/>
        <w:color w:val="5C702F" w:themeColor="accent3" w:themeTint="FE" w:themeShade="95"/>
        <w:sz w:val="22"/>
      </w:rPr>
      <w:tcPr>
        <w:shd w:val="clear" w:fill="FFFFFF" w:color="FFFFFF"/>
        <w:tcBorders>
          <w:left w:val="single" w:color="000000" w:sz="4" w:space="0" w:themeColor="accent3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5C702F" w:themeColor="accent3" w:themeTint="FE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614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color w:val="664F82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color w:val="664F82" w:themeColor="accent4" w:themeTint="9A" w:themeShade="95"/>
        <w:sz w:val="22"/>
      </w:rPr>
    </w:tblStylePr>
    <w:tblStylePr w:type="firstCol">
      <w:rPr>
        <w:i/>
        <w:color w:val="664F82" w:themeColor="accent4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4"/>
          <w:bottom w:val="none" w:color="000000" w:sz="4" w:space="0"/>
        </w:tcBorders>
      </w:tcPr>
    </w:tblStylePr>
    <w:tblStylePr w:type="firstRow">
      <w:rPr>
        <w:b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i/>
        <w:color w:val="664F82" w:themeColor="accent4" w:themeTint="9A" w:themeShade="95"/>
        <w:sz w:val="22"/>
      </w:rPr>
      <w:tcPr>
        <w:shd w:val="clear" w:fill="FFFFFF" w:color="FFFFFF"/>
        <w:tcBorders>
          <w:left w:val="single" w:color="000000" w:sz="4" w:space="0" w:themeColor="accent4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615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color w:val="266777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color w:val="266777" w:themeColor="accent5" w:themeShade="95"/>
        <w:sz w:val="22"/>
      </w:rPr>
    </w:tblStylePr>
    <w:tblStylePr w:type="firstCol">
      <w:rPr>
        <w:i/>
        <w:color w:val="266777" w:themeColor="accent5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5"/>
          <w:bottom w:val="none" w:color="000000" w:sz="4" w:space="0"/>
        </w:tcBorders>
      </w:tcPr>
    </w:tblStylePr>
    <w:tblStylePr w:type="firstRow">
      <w:rPr>
        <w:b/>
        <w:color w:val="266777" w:themeColor="accent5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i/>
        <w:color w:val="266777" w:themeColor="accent5" w:themeShade="95"/>
        <w:sz w:val="22"/>
      </w:rPr>
      <w:tcPr>
        <w:shd w:val="clear" w:fill="FFFFFF" w:color="FFFFFF"/>
        <w:tcBorders>
          <w:left w:val="single" w:color="000000" w:sz="4" w:space="0" w:themeColor="accent5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266777" w:themeColor="accent5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16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color w:val="B05307" w:themeColor="accent6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color w:val="B05307" w:themeColor="accent6" w:themeShade="95"/>
        <w:sz w:val="22"/>
      </w:rPr>
    </w:tblStylePr>
    <w:tblStylePr w:type="firstCol">
      <w:rPr>
        <w:i/>
        <w:color w:val="B05307" w:themeColor="accent6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6"/>
          <w:bottom w:val="none" w:color="000000" w:sz="4" w:space="0"/>
        </w:tcBorders>
      </w:tcPr>
    </w:tblStylePr>
    <w:tblStylePr w:type="firstRow">
      <w:rPr>
        <w:b/>
        <w:color w:val="B05307" w:themeColor="accent6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i/>
        <w:color w:val="B05307" w:themeColor="accent6" w:themeShade="95"/>
        <w:sz w:val="22"/>
      </w:rPr>
      <w:tcPr>
        <w:shd w:val="clear" w:fill="FFFFFF" w:color="FFFFFF"/>
        <w:tcBorders>
          <w:left w:val="single" w:color="000000" w:sz="4" w:space="0" w:themeColor="accent6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B05307" w:themeColor="accent6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17">
    <w:name w:val="List Table 1 Light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18">
    <w:name w:val="List Table 1 Light - Accent 1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19">
    <w:name w:val="List Table 1 Light - Accent 2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620">
    <w:name w:val="List Table 1 Light - Accent 3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621">
    <w:name w:val="List Table 1 Light - Accent 4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622">
    <w:name w:val="List Table 1 Light - Accent 5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23">
    <w:name w:val="List Table 1 Light - Accent 6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24">
    <w:name w:val="List Table 2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single" w:color="000000" w:sz="4" w:space="0" w:themeColor="text1"/>
        </w:tcBorders>
      </w:tcPr>
    </w:tblStylePr>
  </w:style>
  <w:style w:type="table" w:styleId="625">
    <w:name w:val="List Table 2 - Accent 1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single" w:color="000000" w:sz="4" w:space="0" w:themeColor="accent1"/>
        </w:tcBorders>
      </w:tcPr>
    </w:tblStylePr>
  </w:style>
  <w:style w:type="table" w:styleId="626">
    <w:name w:val="List Table 2 - Accent 2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single" w:color="000000" w:sz="4" w:space="0" w:themeColor="accent2"/>
        </w:tcBorders>
      </w:tcPr>
    </w:tblStylePr>
  </w:style>
  <w:style w:type="table" w:styleId="627">
    <w:name w:val="List Table 2 - Accent 3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single" w:color="000000" w:sz="4" w:space="0" w:themeColor="accent3"/>
        </w:tcBorders>
      </w:tcPr>
    </w:tblStylePr>
  </w:style>
  <w:style w:type="table" w:styleId="628">
    <w:name w:val="List Table 2 - Accent 4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single" w:color="000000" w:sz="4" w:space="0" w:themeColor="accent4"/>
        </w:tcBorders>
      </w:tcPr>
    </w:tblStylePr>
  </w:style>
  <w:style w:type="table" w:styleId="629">
    <w:name w:val="List Table 2 - Accent 5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single" w:color="000000" w:sz="4" w:space="0" w:themeColor="accent5"/>
        </w:tcBorders>
      </w:tcPr>
    </w:tblStylePr>
  </w:style>
  <w:style w:type="table" w:styleId="630">
    <w:name w:val="List Table 2 - Accent 6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single" w:color="000000" w:sz="4" w:space="0" w:themeColor="accent6"/>
        </w:tcBorders>
      </w:tcPr>
    </w:tblStylePr>
  </w:style>
  <w:style w:type="table" w:styleId="631">
    <w:name w:val="List Table 3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2">
    <w:name w:val="List Table 3 - Accent 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3">
    <w:name w:val="List Table 3 - Accent 2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color w:val="404040"/>
        <w:sz w:val="22"/>
      </w:rPr>
      <w:tcPr>
        <w:tcBorders>
          <w:top w:val="single" w:color="000000" w:sz="4" w:space="0" w:themeColor="accent2"/>
          <w:bottom w:val="single" w:color="000000" w:sz="4" w:space="0" w:themeColor="accent2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sz="4" w:space="0" w:themeColor="accent2"/>
          <w:right w:val="single" w:color="000000" w:sz="4" w:space="0" w:themeColor="accent2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4">
    <w:name w:val="List Table 3 - Accent 3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color w:val="404040"/>
        <w:sz w:val="22"/>
      </w:rPr>
      <w:tcPr>
        <w:tcBorders>
          <w:top w:val="single" w:color="000000" w:sz="4" w:space="0" w:themeColor="accent3"/>
          <w:bottom w:val="single" w:color="000000" w:sz="4" w:space="0" w:themeColor="accent3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sz="4" w:space="0" w:themeColor="accent3"/>
          <w:right w:val="single" w:color="000000" w:sz="4" w:space="0" w:themeColor="accent3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5">
    <w:name w:val="List Table 3 - Accent 4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color w:val="404040"/>
        <w:sz w:val="22"/>
      </w:rPr>
      <w:tcPr>
        <w:tcBorders>
          <w:top w:val="single" w:color="000000" w:sz="4" w:space="0" w:themeColor="accent4"/>
          <w:bottom w:val="single" w:color="000000" w:sz="4" w:space="0" w:themeColor="accent4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sz="4" w:space="0" w:themeColor="accent4"/>
          <w:right w:val="single" w:color="000000" w:sz="4" w:space="0" w:themeColor="accent4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6">
    <w:name w:val="List Table 3 - Accent 5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color w:val="404040"/>
        <w:sz w:val="22"/>
      </w:rPr>
      <w:tcPr>
        <w:tcBorders>
          <w:top w:val="single" w:color="000000" w:sz="4" w:space="0" w:themeColor="accent5"/>
          <w:bottom w:val="single" w:color="000000" w:sz="4" w:space="0" w:themeColor="accent5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sz="4" w:space="0" w:themeColor="accent5"/>
          <w:right w:val="single" w:color="000000" w:sz="4" w:space="0" w:themeColor="accent5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7">
    <w:name w:val="List Table 3 - Accent 6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color w:val="404040"/>
        <w:sz w:val="22"/>
      </w:rPr>
      <w:tcPr>
        <w:tcBorders>
          <w:top w:val="single" w:color="000000" w:sz="4" w:space="0" w:themeColor="accent6"/>
          <w:bottom w:val="single" w:color="000000" w:sz="4" w:space="0" w:themeColor="accent6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sz="4" w:space="0" w:themeColor="accent6"/>
          <w:right w:val="single" w:color="000000" w:sz="4" w:space="0" w:themeColor="accent6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8">
    <w:name w:val="List Table 4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9">
    <w:name w:val="List Table 4 - Accent 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0">
    <w:name w:val="List Table 4 - Accent 2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1">
    <w:name w:val="List Table 4 - Accent 3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2">
    <w:name w:val="List Table 4 - Accent 4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3">
    <w:name w:val="List Table 4 - Accent 5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4">
    <w:name w:val="List Table 4 - Accent 6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5">
    <w:name w:val="List Table 5 Dark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</w:tblPr>
    <w:tblStylePr w:type="band1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sz="32" w:space="0" w:themeColor="text1"/>
          <w:right w:val="single" w:color="000000" w:sz="4" w:space="0" w:themeColor="light1"/>
        </w:tcBorders>
      </w:tcPr>
    </w:tblStylePr>
    <w:tblStylePr w:type="firstRow">
      <w:rPr>
        <w:b/>
        <w:color w:val="FFFFFF" w:themeColor="light1"/>
        <w:sz w:val="22"/>
      </w:rPr>
      <w:tcPr>
        <w:shd w:val="clear" w:fill="FFFFFF" w:color="FFFFFF" w:themeFill="text1" w:themeFillTint="80"/>
        <w:tcBorders>
          <w:top w:val="single" w:color="000000" w:sz="32" w:space="0" w:themeColor="tex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646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</w:tblPr>
    <w:tblStylePr w:type="band1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b/>
        <w:color w:val="FFFFFF" w:themeColor="light1"/>
        <w:sz w:val="22"/>
      </w:rPr>
      <w:tcPr>
        <w:shd w:val="clear" w:fill="FFFFFF" w:color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647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</w:tblPr>
    <w:tblStylePr w:type="band1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sz="32" w:space="0" w:themeColor="accent2"/>
          <w:right w:val="single" w:color="000000" w:sz="4" w:space="0" w:themeColor="light1"/>
        </w:tcBorders>
      </w:tcPr>
    </w:tblStylePr>
    <w:tblStylePr w:type="firstRow">
      <w:rPr>
        <w:b/>
        <w:color w:val="FFFFFF" w:themeColor="light1"/>
        <w:sz w:val="22"/>
      </w:rPr>
      <w:tcPr>
        <w:shd w:val="clear" w:fill="FFFFFF" w:color="FFFFFF" w:themeFill="accent2" w:themeFillTint="97"/>
        <w:tcBorders>
          <w:top w:val="single" w:color="000000" w:sz="32" w:space="0" w:themeColor="accent2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648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</w:tblPr>
    <w:tblStylePr w:type="band1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sz="32" w:space="0" w:themeColor="accent3"/>
          <w:right w:val="single" w:color="000000" w:sz="4" w:space="0" w:themeColor="light1"/>
        </w:tcBorders>
      </w:tcPr>
    </w:tblStylePr>
    <w:tblStylePr w:type="firstRow">
      <w:rPr>
        <w:b/>
        <w:color w:val="FFFFFF" w:themeColor="light1"/>
        <w:sz w:val="22"/>
      </w:rPr>
      <w:tcPr>
        <w:shd w:val="clear" w:fill="FFFFFF" w:color="FFFFFF" w:themeFill="accent3" w:themeFillTint="98"/>
        <w:tcBorders>
          <w:top w:val="single" w:color="000000" w:sz="32" w:space="0" w:themeColor="accent3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649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</w:tblPr>
    <w:tblStylePr w:type="band1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sz="32" w:space="0" w:themeColor="accent4"/>
          <w:right w:val="single" w:color="000000" w:sz="4" w:space="0" w:themeColor="light1"/>
        </w:tcBorders>
      </w:tcPr>
    </w:tblStylePr>
    <w:tblStylePr w:type="firstRow">
      <w:rPr>
        <w:b/>
        <w:color w:val="FFFFFF" w:themeColor="light1"/>
        <w:sz w:val="22"/>
      </w:rPr>
      <w:tcPr>
        <w:shd w:val="clear" w:fill="FFFFFF" w:color="FFFFFF" w:themeFill="accent4" w:themeFillTint="9A"/>
        <w:tcBorders>
          <w:top w:val="single" w:color="000000" w:sz="32" w:space="0" w:themeColor="accent4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650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</w:tblPr>
    <w:tblStylePr w:type="band1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sz="32" w:space="0" w:themeColor="accent5"/>
          <w:right w:val="single" w:color="000000" w:sz="4" w:space="0" w:themeColor="light1"/>
        </w:tcBorders>
      </w:tcPr>
    </w:tblStylePr>
    <w:tblStylePr w:type="firstRow">
      <w:rPr>
        <w:b/>
        <w:color w:val="FFFFFF" w:themeColor="light1"/>
        <w:sz w:val="22"/>
      </w:rPr>
      <w:tcPr>
        <w:shd w:val="clear" w:fill="FFFFFF" w:color="FFFFFF" w:themeFill="accent5" w:themeFillTint="9A"/>
        <w:tcBorders>
          <w:top w:val="single" w:color="000000" w:sz="32" w:space="0" w:themeColor="accent5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651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</w:tblPr>
    <w:tblStylePr w:type="band1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sz="32" w:space="0" w:themeColor="accent6"/>
          <w:right w:val="single" w:color="000000" w:sz="4" w:space="0" w:themeColor="light1"/>
        </w:tcBorders>
      </w:tcPr>
    </w:tblStylePr>
    <w:tblStylePr w:type="firstRow">
      <w:rPr>
        <w:b/>
        <w:color w:val="FFFFFF" w:themeColor="light1"/>
        <w:sz w:val="22"/>
      </w:rPr>
      <w:tcPr>
        <w:shd w:val="clear" w:fill="FFFFFF" w:color="FFFFFF" w:themeFill="accent6" w:themeFillTint="98"/>
        <w:tcBorders>
          <w:top w:val="single" w:color="000000" w:sz="32" w:space="0" w:themeColor="accent6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652">
    <w:name w:val="List Table 6 Colorful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color w:val="404040" w:themeColor="text1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/>
        </w:tcBorders>
      </w:tcPr>
    </w:tblStylePr>
  </w:style>
  <w:style w:type="table" w:styleId="653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color w:val="404040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654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color w:val="404040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/>
        </w:tcBorders>
      </w:tcPr>
    </w:tblStylePr>
  </w:style>
  <w:style w:type="table" w:styleId="655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color w:val="404040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/>
        </w:tcBorders>
      </w:tcPr>
    </w:tblStylePr>
  </w:style>
  <w:style w:type="table" w:styleId="656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color w:val="40404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/>
        </w:tcBorders>
      </w:tcPr>
    </w:tblStylePr>
  </w:style>
  <w:style w:type="table" w:styleId="657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color w:val="40404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/>
        </w:tcBorders>
      </w:tcPr>
    </w:tblStylePr>
  </w:style>
  <w:style w:type="table" w:styleId="658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color w:val="404040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/>
        </w:tcBorders>
      </w:tcPr>
    </w:tblStylePr>
  </w:style>
  <w:style w:type="table" w:styleId="659">
    <w:name w:val="List Table 7 Colorful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text1" w:themeTint="80"/>
      </w:tblBorders>
    </w:tblPr>
    <w:tblStylePr w:type="band1Horz">
      <w:rPr>
        <w:color w:val="4A4A4A" w:themeColor="text1" w:themeTint="80" w:themeShade="95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text1"/>
          <w:bottom w:val="none" w:color="000000" w:sz="4" w:space="0"/>
        </w:tcBorders>
      </w:tcPr>
    </w:tblStylePr>
    <w:tblStylePr w:type="firstRow">
      <w:rPr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val="clear" w:fill="FFFFFF" w:color="FFFFFF"/>
        <w:tcBorders>
          <w:left w:val="single" w:color="000000" w:sz="4" w:space="0" w:themeColor="tex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wholeTable">
      <w:rPr>
        <w:color w:val="4A4A4A" w:themeColor="text1" w:themeTint="80" w:themeShade="95"/>
        <w:sz w:val="22"/>
      </w:rPr>
    </w:tblStylePr>
  </w:style>
  <w:style w:type="table" w:styleId="660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1"/>
      </w:tblBorders>
    </w:tblPr>
    <w:tblStylePr w:type="band1Horz">
      <w:rPr>
        <w:color w:val="2A4B71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color w:val="2A4B71" w:themeColor="accent1" w:themeShade="95"/>
        <w:sz w:val="22"/>
      </w:rPr>
    </w:tblStylePr>
    <w:tblStylePr w:type="firstCol">
      <w:rPr>
        <w:i/>
        <w:color w:val="2A4B71" w:themeColor="accent1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i/>
        <w:color w:val="2A4B71" w:themeColor="accent1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i/>
        <w:color w:val="2A4B71" w:themeColor="accent1" w:themeShade="95"/>
        <w:sz w:val="22"/>
      </w:rPr>
      <w:tcPr>
        <w:shd w:val="clear" w:fill="FFFFFF"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i/>
        <w:color w:val="2A4B71" w:themeColor="accent1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color w:val="2A4B71" w:themeColor="accent1" w:themeShade="95"/>
        <w:sz w:val="22"/>
      </w:rPr>
    </w:tblStylePr>
  </w:style>
  <w:style w:type="table" w:styleId="661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2" w:themeTint="97"/>
      </w:tblBorders>
    </w:tblPr>
    <w:tblStylePr w:type="band1Horz">
      <w:rPr>
        <w:color w:val="9C3A37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color w:val="9C3A37" w:themeColor="accent2" w:themeTint="97" w:themeShade="95"/>
        <w:sz w:val="22"/>
      </w:rPr>
    </w:tblStylePr>
    <w:tblStylePr w:type="firstCol">
      <w:rPr>
        <w:i/>
        <w:color w:val="9C3A37" w:themeColor="accent2" w:themeTint="97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2"/>
          <w:bottom w:val="none" w:color="000000" w:sz="4" w:space="0"/>
        </w:tcBorders>
      </w:tcPr>
    </w:tblStylePr>
    <w:tblStylePr w:type="firstRow">
      <w:rPr>
        <w:i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i/>
        <w:color w:val="9C3A37" w:themeColor="accent2" w:themeTint="97" w:themeShade="95"/>
        <w:sz w:val="22"/>
      </w:rPr>
      <w:tcPr>
        <w:shd w:val="clear" w:fill="FFFFFF" w:color="FFFFFF"/>
        <w:tcBorders>
          <w:left w:val="single" w:color="000000" w:sz="4" w:space="0" w:themeColor="accent2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i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  <w:tblStylePr w:type="wholeTable">
      <w:rPr>
        <w:color w:val="9C3A37" w:themeColor="accent2" w:themeTint="97" w:themeShade="95"/>
        <w:sz w:val="22"/>
      </w:rPr>
    </w:tblStylePr>
  </w:style>
  <w:style w:type="table" w:styleId="662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3" w:themeTint="98"/>
      </w:tblBorders>
    </w:tblPr>
    <w:tblStylePr w:type="band1Horz">
      <w:rPr>
        <w:color w:val="7C983F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color w:val="7C983F" w:themeColor="accent3" w:themeTint="98" w:themeShade="95"/>
        <w:sz w:val="22"/>
      </w:rPr>
    </w:tblStylePr>
    <w:tblStylePr w:type="firstCol">
      <w:rPr>
        <w:i/>
        <w:color w:val="7C983F" w:themeColor="accent3" w:themeTint="98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3"/>
          <w:bottom w:val="none" w:color="000000" w:sz="4" w:space="0"/>
        </w:tcBorders>
      </w:tcPr>
    </w:tblStylePr>
    <w:tblStylePr w:type="firstRow">
      <w:rPr>
        <w:i/>
        <w:color w:val="7C983F" w:themeColor="accent3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i/>
        <w:color w:val="7C983F" w:themeColor="accent3" w:themeTint="98" w:themeShade="95"/>
        <w:sz w:val="22"/>
      </w:rPr>
      <w:tcPr>
        <w:shd w:val="clear" w:fill="FFFFFF" w:color="FFFFFF"/>
        <w:tcBorders>
          <w:left w:val="single" w:color="000000" w:sz="4" w:space="0" w:themeColor="accent3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i/>
        <w:color w:val="7C983F" w:themeColor="accent3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  <w:tblStylePr w:type="wholeTable">
      <w:rPr>
        <w:color w:val="7C983F" w:themeColor="accent3" w:themeTint="98" w:themeShade="95"/>
        <w:sz w:val="22"/>
      </w:rPr>
    </w:tblStylePr>
  </w:style>
  <w:style w:type="table" w:styleId="663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4" w:themeTint="9A"/>
      </w:tblBorders>
    </w:tblPr>
    <w:tblStylePr w:type="band1Horz">
      <w:rPr>
        <w:color w:val="664F82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color w:val="664F82" w:themeColor="accent4" w:themeTint="9A" w:themeShade="95"/>
        <w:sz w:val="22"/>
      </w:rPr>
    </w:tblStylePr>
    <w:tblStylePr w:type="firstCol">
      <w:rPr>
        <w:i/>
        <w:color w:val="664F82" w:themeColor="accent4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4"/>
          <w:bottom w:val="none" w:color="000000" w:sz="4" w:space="0"/>
        </w:tcBorders>
      </w:tcPr>
    </w:tblStylePr>
    <w:tblStylePr w:type="firstRow">
      <w:rPr>
        <w:i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i/>
        <w:color w:val="664F82" w:themeColor="accent4" w:themeTint="9A" w:themeShade="95"/>
        <w:sz w:val="22"/>
      </w:rPr>
      <w:tcPr>
        <w:shd w:val="clear" w:fill="FFFFFF" w:color="FFFFFF"/>
        <w:tcBorders>
          <w:left w:val="single" w:color="000000" w:sz="4" w:space="0" w:themeColor="accent4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i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  <w:tblStylePr w:type="wholeTable">
      <w:rPr>
        <w:color w:val="664F82" w:themeColor="accent4" w:themeTint="9A" w:themeShade="95"/>
        <w:sz w:val="22"/>
      </w:rPr>
    </w:tblStylePr>
  </w:style>
  <w:style w:type="table" w:styleId="664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5" w:themeTint="9A"/>
      </w:tblBorders>
    </w:tblPr>
    <w:tblStylePr w:type="band1Horz">
      <w:rPr>
        <w:color w:val="338AA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color w:val="338AA0" w:themeColor="accent5" w:themeTint="9A" w:themeShade="95"/>
        <w:sz w:val="22"/>
      </w:rPr>
    </w:tblStylePr>
    <w:tblStylePr w:type="firstCol">
      <w:rPr>
        <w:i/>
        <w:color w:val="338AA0" w:themeColor="accent5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5"/>
          <w:bottom w:val="none" w:color="000000" w:sz="4" w:space="0"/>
        </w:tcBorders>
      </w:tcPr>
    </w:tblStylePr>
    <w:tblStylePr w:type="firstRow">
      <w:rPr>
        <w:i/>
        <w:color w:val="338AA0" w:themeColor="accent5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i/>
        <w:color w:val="338AA0" w:themeColor="accent5" w:themeTint="9A" w:themeShade="95"/>
        <w:sz w:val="22"/>
      </w:rPr>
      <w:tcPr>
        <w:shd w:val="clear" w:fill="FFFFFF" w:color="FFFFFF"/>
        <w:tcBorders>
          <w:left w:val="single" w:color="000000" w:sz="4" w:space="0" w:themeColor="accent5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i/>
        <w:color w:val="338AA0" w:themeColor="accent5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  <w:tblStylePr w:type="wholeTable">
      <w:rPr>
        <w:color w:val="338AA0" w:themeColor="accent5" w:themeTint="9A" w:themeShade="95"/>
        <w:sz w:val="22"/>
      </w:rPr>
    </w:tblStylePr>
  </w:style>
  <w:style w:type="table" w:styleId="665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000000" w:sz="4" w:space="0" w:themeColor="accent6" w:themeTint="98"/>
      </w:tblBorders>
    </w:tblPr>
    <w:tblStylePr w:type="band1Horz">
      <w:rPr>
        <w:color w:val="D9680C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color w:val="D9680C" w:themeColor="accent6" w:themeTint="98" w:themeShade="95"/>
        <w:sz w:val="22"/>
      </w:rPr>
    </w:tblStylePr>
    <w:tblStylePr w:type="firstCol">
      <w:rPr>
        <w:i/>
        <w:color w:val="D9680C" w:themeColor="accent6" w:themeTint="98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6"/>
          <w:bottom w:val="none" w:color="000000" w:sz="4" w:space="0"/>
        </w:tcBorders>
      </w:tcPr>
    </w:tblStylePr>
    <w:tblStylePr w:type="firstRow">
      <w:rPr>
        <w:i/>
        <w:color w:val="D9680C" w:themeColor="accent6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i/>
        <w:color w:val="D9680C" w:themeColor="accent6" w:themeTint="98" w:themeShade="95"/>
        <w:sz w:val="22"/>
      </w:rPr>
      <w:tcPr>
        <w:shd w:val="clear" w:fill="FFFFFF" w:color="FFFFFF"/>
        <w:tcBorders>
          <w:left w:val="single" w:color="000000" w:sz="4" w:space="0" w:themeColor="accent6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i/>
        <w:color w:val="D9680C" w:themeColor="accent6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  <w:tblStylePr w:type="wholeTable">
      <w:rPr>
        <w:color w:val="D9680C" w:themeColor="accent6" w:themeTint="98" w:themeShade="95"/>
        <w:sz w:val="22"/>
      </w:rPr>
    </w:tblStylePr>
  </w:style>
  <w:style w:type="table" w:styleId="666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text1" w:themeFillTint="00"/>
      </w:tcPr>
    </w:tblStylePr>
    <w:tblStylePr w:type="band2Vert">
      <w:rPr>
        <w:color w:val="404040"/>
        <w:sz w:val="22"/>
      </w:rPr>
      <w:tcPr>
        <w:shd w:val="clear" w:fill="FFFFFF" w:color="FFFFFF" w:themeFill="text1" w:themeFillTint="00"/>
      </w:tcPr>
    </w:tblStylePr>
    <w:tblStylePr w:type="firstCol">
      <w:rPr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667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668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669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670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671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color w:val="F2F2F2"/>
        <w:sz w:val="22"/>
      </w:rPr>
      <w:tcPr>
        <w:shd w:val="clear" w:fill="FFFFFF" w:color="FFFFFF" w:themeFill="accent5"/>
      </w:tcPr>
    </w:tblStylePr>
    <w:tblStylePr w:type="firstRow">
      <w:rPr>
        <w:color w:val="F2F2F2"/>
        <w:sz w:val="22"/>
      </w:rPr>
      <w:tcPr>
        <w:shd w:val="clear" w:fill="FFFFFF" w:color="FFFFFF" w:themeFill="accent5"/>
      </w:tcPr>
    </w:tblStylePr>
    <w:tblStylePr w:type="lastCol">
      <w:rPr>
        <w:color w:val="F2F2F2"/>
        <w:sz w:val="22"/>
      </w:rPr>
      <w:tcPr>
        <w:shd w:val="clear" w:fill="FFFFFF" w:color="FFFFFF" w:themeFill="accent5"/>
      </w:tcPr>
    </w:tblStylePr>
    <w:tblStylePr w:type="lastRow">
      <w:rPr>
        <w:color w:val="F2F2F2"/>
        <w:sz w:val="22"/>
      </w:rPr>
      <w:tcPr>
        <w:shd w:val="clear" w:fill="FFFFFF" w:color="FFFFFF" w:themeFill="accent5"/>
      </w:tcPr>
    </w:tblStylePr>
  </w:style>
  <w:style w:type="table" w:styleId="672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color w:val="F2F2F2"/>
        <w:sz w:val="22"/>
      </w:rPr>
      <w:tcPr>
        <w:shd w:val="clear" w:fill="FFFFFF" w:color="FFFFFF" w:themeFill="accent6"/>
      </w:tcPr>
    </w:tblStylePr>
    <w:tblStylePr w:type="firstRow">
      <w:rPr>
        <w:color w:val="F2F2F2"/>
        <w:sz w:val="22"/>
      </w:rPr>
      <w:tcPr>
        <w:shd w:val="clear" w:fill="FFFFFF" w:color="FFFFFF" w:themeFill="accent6"/>
      </w:tcPr>
    </w:tblStylePr>
    <w:tblStylePr w:type="lastCol">
      <w:rPr>
        <w:color w:val="F2F2F2"/>
        <w:sz w:val="22"/>
      </w:rPr>
      <w:tcPr>
        <w:shd w:val="clear" w:fill="FFFFFF" w:color="FFFFFF" w:themeFill="accent6"/>
      </w:tcPr>
    </w:tblStylePr>
    <w:tblStylePr w:type="lastRow">
      <w:rPr>
        <w:color w:val="F2F2F2"/>
        <w:sz w:val="22"/>
      </w:rPr>
      <w:tcPr>
        <w:shd w:val="clear" w:fill="FFFFFF" w:color="FFFFFF" w:themeFill="accent6"/>
      </w:tcPr>
    </w:tblStylePr>
  </w:style>
  <w:style w:type="table" w:styleId="673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text1" w:themeFillTint="00"/>
      </w:tcPr>
    </w:tblStylePr>
    <w:tblStylePr w:type="band2Vert">
      <w:rPr>
        <w:color w:val="404040"/>
        <w:sz w:val="22"/>
      </w:rPr>
      <w:tcPr>
        <w:shd w:val="clear" w:fill="FFFFFF" w:color="FFFFFF" w:themeFill="text1" w:themeFillTint="00"/>
      </w:tcPr>
    </w:tblStylePr>
    <w:tblStylePr w:type="firstCol">
      <w:rPr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674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  <w:insideV w:val="single" w:color="000000" w:sz="4" w:space="0" w:themeColor="accent1"/>
        <w:insideH w:val="single" w:color="000000" w:sz="4" w:space="0" w:themeColor="accent1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675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2"/>
        <w:top w:val="single" w:color="000000" w:sz="4" w:space="0" w:themeColor="accent2"/>
        <w:right w:val="single" w:color="000000" w:sz="4" w:space="0" w:themeColor="accent2"/>
        <w:bottom w:val="single" w:color="000000" w:sz="4" w:space="0" w:themeColor="accent2"/>
        <w:insideV w:val="single" w:color="000000" w:sz="4" w:space="0" w:themeColor="accent2"/>
        <w:insideH w:val="single" w:color="000000" w:sz="4" w:space="0" w:themeColor="accent2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676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3"/>
        <w:top w:val="single" w:color="000000" w:sz="4" w:space="0" w:themeColor="accent3"/>
        <w:right w:val="single" w:color="000000" w:sz="4" w:space="0" w:themeColor="accent3"/>
        <w:bottom w:val="single" w:color="000000" w:sz="4" w:space="0" w:themeColor="accent3"/>
        <w:insideV w:val="single" w:color="000000" w:sz="4" w:space="0" w:themeColor="accent3"/>
        <w:insideH w:val="single" w:color="000000" w:sz="4" w:space="0" w:themeColor="accent3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677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4"/>
        <w:top w:val="single" w:color="000000" w:sz="4" w:space="0" w:themeColor="accent4"/>
        <w:right w:val="single" w:color="000000" w:sz="4" w:space="0" w:themeColor="accent4"/>
        <w:bottom w:val="single" w:color="000000" w:sz="4" w:space="0" w:themeColor="accent4"/>
        <w:insideV w:val="single" w:color="000000" w:sz="4" w:space="0" w:themeColor="accent4"/>
        <w:insideH w:val="single" w:color="000000" w:sz="4" w:space="0" w:themeColor="accent4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678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color w:val="F2F2F2"/>
        <w:sz w:val="22"/>
      </w:rPr>
      <w:tcPr>
        <w:shd w:val="clear" w:fill="FFFFFF" w:color="FFFFFF" w:themeFill="accent5"/>
      </w:tcPr>
    </w:tblStylePr>
    <w:tblStylePr w:type="firstRow">
      <w:rPr>
        <w:color w:val="F2F2F2"/>
        <w:sz w:val="22"/>
      </w:rPr>
      <w:tcPr>
        <w:shd w:val="clear" w:fill="FFFFFF" w:color="FFFFFF" w:themeFill="accent5"/>
      </w:tcPr>
    </w:tblStylePr>
    <w:tblStylePr w:type="lastCol">
      <w:rPr>
        <w:color w:val="F2F2F2"/>
        <w:sz w:val="22"/>
      </w:rPr>
      <w:tcPr>
        <w:shd w:val="clear" w:fill="FFFFFF" w:color="FFFFFF" w:themeFill="accent5"/>
      </w:tcPr>
    </w:tblStylePr>
    <w:tblStylePr w:type="lastRow">
      <w:rPr>
        <w:color w:val="F2F2F2"/>
        <w:sz w:val="22"/>
      </w:rPr>
      <w:tcPr>
        <w:shd w:val="clear" w:fill="FFFFFF" w:color="FFFFFF" w:themeFill="accent5"/>
      </w:tcPr>
    </w:tblStylePr>
  </w:style>
  <w:style w:type="table" w:styleId="679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color w:val="F2F2F2"/>
        <w:sz w:val="22"/>
      </w:rPr>
      <w:tcPr>
        <w:shd w:val="clear" w:fill="FFFFFF" w:color="FFFFFF" w:themeFill="accent6"/>
      </w:tcPr>
    </w:tblStylePr>
    <w:tblStylePr w:type="firstRow">
      <w:rPr>
        <w:color w:val="F2F2F2"/>
        <w:sz w:val="22"/>
      </w:rPr>
      <w:tcPr>
        <w:shd w:val="clear" w:fill="FFFFFF" w:color="FFFFFF" w:themeFill="accent6"/>
      </w:tcPr>
    </w:tblStylePr>
    <w:tblStylePr w:type="lastCol">
      <w:rPr>
        <w:color w:val="F2F2F2"/>
        <w:sz w:val="22"/>
      </w:rPr>
      <w:tcPr>
        <w:shd w:val="clear" w:fill="FFFFFF" w:color="FFFFFF" w:themeFill="accent6"/>
      </w:tcPr>
    </w:tblStylePr>
    <w:tblStylePr w:type="lastRow">
      <w:rPr>
        <w:color w:val="F2F2F2"/>
        <w:sz w:val="22"/>
      </w:rPr>
      <w:tcPr>
        <w:shd w:val="clear" w:fill="FFFFFF" w:color="FFFFFF" w:themeFill="accent6"/>
      </w:tcPr>
    </w:tblStylePr>
  </w:style>
  <w:style w:type="table" w:styleId="680">
    <w:name w:val="Bordered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sz="12" w:space="0" w:themeColor="text1"/>
        </w:tcBorders>
      </w:tcPr>
    </w:tblStylePr>
    <w:tblStylePr w:type="lastCol">
      <w:rPr>
        <w:color w:val="404040"/>
        <w:sz w:val="22"/>
      </w:rPr>
      <w:tcPr>
        <w:tcBorders>
          <w:left w:val="single" w:color="000000" w:sz="12" w:space="0" w:themeColor="text1"/>
        </w:tcBorders>
      </w:tcPr>
    </w:tblStylePr>
    <w:tblStylePr w:type="lastRow">
      <w:rPr>
        <w:color w:val="404040"/>
        <w:sz w:val="22"/>
      </w:rPr>
      <w:tcPr>
        <w:tcBorders>
          <w:top w:val="single" w:color="000000" w:sz="12" w:space="0" w:themeColor="text1"/>
        </w:tcBorders>
      </w:tcPr>
    </w:tblStylePr>
  </w:style>
  <w:style w:type="table" w:styleId="681">
    <w:name w:val="Bordered - Accent 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1"/>
          <w:top w:val="single" w:color="000000" w:sz="4" w:space="0" w:themeColor="accent1"/>
          <w:right w:val="single" w:color="000000" w:sz="4" w:space="0" w:themeColor="accent1"/>
          <w:bottom w:val="single" w:color="000000" w:sz="4" w:space="0" w:themeColor="accent1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82">
    <w:name w:val="Bordered - Accent 2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2"/>
          <w:top w:val="single" w:color="000000" w:sz="4" w:space="0" w:themeColor="accent2"/>
          <w:right w:val="single" w:color="000000" w:sz="4" w:space="0" w:themeColor="accent2"/>
          <w:bottom w:val="single" w:color="000000" w:sz="4" w:space="0" w:themeColor="accent2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sz="12" w:space="0" w:themeColor="accent2"/>
        </w:tcBorders>
      </w:tcPr>
    </w:tblStylePr>
    <w:tblStylePr w:type="lastCol">
      <w:rPr>
        <w:color w:val="404040"/>
        <w:sz w:val="22"/>
      </w:rPr>
      <w:tcPr>
        <w:tcBorders>
          <w:left w:val="single" w:color="000000" w:sz="12" w:space="0" w:themeColor="accent2"/>
        </w:tcBorders>
      </w:tcPr>
    </w:tblStylePr>
    <w:tblStylePr w:type="lastRow">
      <w:rPr>
        <w:color w:val="404040"/>
        <w:sz w:val="22"/>
      </w:rPr>
      <w:tcPr>
        <w:tcBorders>
          <w:top w:val="single" w:color="000000" w:sz="12" w:space="0" w:themeColor="accent2"/>
        </w:tcBorders>
      </w:tcPr>
    </w:tblStylePr>
  </w:style>
  <w:style w:type="table" w:styleId="683">
    <w:name w:val="Bordered - Accent 3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3"/>
          <w:top w:val="single" w:color="000000" w:sz="4" w:space="0" w:themeColor="accent3"/>
          <w:right w:val="single" w:color="000000" w:sz="4" w:space="0" w:themeColor="accent3"/>
          <w:bottom w:val="single" w:color="000000" w:sz="4" w:space="0" w:themeColor="accent3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sz="12" w:space="0" w:themeColor="accent3"/>
        </w:tcBorders>
      </w:tcPr>
    </w:tblStylePr>
    <w:tblStylePr w:type="lastCol">
      <w:rPr>
        <w:color w:val="404040"/>
        <w:sz w:val="22"/>
      </w:rPr>
      <w:tcPr>
        <w:tcBorders>
          <w:left w:val="single" w:color="000000" w:sz="12" w:space="0" w:themeColor="accent3"/>
        </w:tcBorders>
      </w:tcPr>
    </w:tblStylePr>
    <w:tblStylePr w:type="lastRow">
      <w:rPr>
        <w:color w:val="404040"/>
        <w:sz w:val="22"/>
      </w:rPr>
      <w:tcPr>
        <w:tcBorders>
          <w:top w:val="single" w:color="000000" w:sz="12" w:space="0" w:themeColor="accent3"/>
        </w:tcBorders>
      </w:tcPr>
    </w:tblStylePr>
  </w:style>
  <w:style w:type="table" w:styleId="684">
    <w:name w:val="Bordered - Accent 4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4"/>
          <w:top w:val="single" w:color="000000" w:sz="4" w:space="0" w:themeColor="accent4"/>
          <w:right w:val="single" w:color="000000" w:sz="4" w:space="0" w:themeColor="accent4"/>
          <w:bottom w:val="single" w:color="000000" w:sz="4" w:space="0" w:themeColor="accent4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sz="12" w:space="0" w:themeColor="accent4"/>
        </w:tcBorders>
      </w:tcPr>
    </w:tblStylePr>
    <w:tblStylePr w:type="lastCol">
      <w:rPr>
        <w:color w:val="404040"/>
        <w:sz w:val="22"/>
      </w:rPr>
      <w:tcPr>
        <w:tcBorders>
          <w:left w:val="single" w:color="000000" w:sz="12" w:space="0" w:themeColor="accent4"/>
        </w:tcBorders>
      </w:tcPr>
    </w:tblStylePr>
    <w:tblStylePr w:type="lastRow">
      <w:rPr>
        <w:color w:val="404040"/>
        <w:sz w:val="22"/>
      </w:rPr>
      <w:tcPr>
        <w:tcBorders>
          <w:top w:val="single" w:color="000000" w:sz="12" w:space="0" w:themeColor="accent4"/>
        </w:tcBorders>
      </w:tcPr>
    </w:tblStylePr>
  </w:style>
  <w:style w:type="table" w:styleId="685">
    <w:name w:val="Bordered - Accent 5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sz="12" w:space="0" w:themeColor="accent5"/>
        </w:tcBorders>
      </w:tcPr>
    </w:tblStylePr>
    <w:tblStylePr w:type="lastCol">
      <w:rPr>
        <w:color w:val="404040"/>
        <w:sz w:val="22"/>
      </w:rPr>
      <w:tcPr>
        <w:tcBorders>
          <w:left w:val="single" w:color="000000" w:sz="12" w:space="0" w:themeColor="accent5"/>
        </w:tcBorders>
      </w:tcPr>
    </w:tblStylePr>
    <w:tblStylePr w:type="lastRow">
      <w:rPr>
        <w:color w:val="404040"/>
        <w:sz w:val="22"/>
      </w:rPr>
      <w:tcPr>
        <w:tcBorders>
          <w:top w:val="single" w:color="000000" w:sz="12" w:space="0" w:themeColor="accent5"/>
        </w:tcBorders>
      </w:tcPr>
    </w:tblStylePr>
  </w:style>
  <w:style w:type="table" w:styleId="686">
    <w:name w:val="Bordered - Accent 6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color w:val="404040"/>
        <w:sz w:val="22"/>
      </w:rPr>
      <w:tcPr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sz="12" w:space="0" w:themeColor="accent6"/>
        </w:tcBorders>
      </w:tcPr>
    </w:tblStylePr>
    <w:tblStylePr w:type="lastCol">
      <w:rPr>
        <w:color w:val="404040"/>
        <w:sz w:val="22"/>
      </w:rPr>
      <w:tcPr>
        <w:tcBorders>
          <w:left w:val="single" w:color="000000" w:sz="12" w:space="0" w:themeColor="accent6"/>
        </w:tcBorders>
      </w:tcPr>
    </w:tblStylePr>
    <w:tblStylePr w:type="lastRow">
      <w:rPr>
        <w:color w:val="404040"/>
        <w:sz w:val="22"/>
      </w:rPr>
      <w:tcPr>
        <w:tcBorders>
          <w:top w:val="single" w:color="000000" w:sz="12" w:space="0" w:themeColor="accent6"/>
        </w:tcBorders>
      </w:tcPr>
    </w:tblStylePr>
  </w:style>
  <w:style w:type="table" w:styleId="68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hyperlink" Target="mailto:dep@altsmb.ru" TargetMode="External"/><Relationship Id="rId12" Type="http://schemas.openxmlformats.org/officeDocument/2006/relationships/hyperlink" Target="https://login.consultant.ru/link/?req=doc&amp;base=RLAW016&amp;n=112792&amp;date=31.01.2024" TargetMode="External"/><Relationship Id="rId13" Type="http://schemas.openxmlformats.org/officeDocument/2006/relationships/hyperlink" Target="http://www.altsmb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Р7-Офис/6.1.0.68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dc:language>ru-RU</dc:language>
  <cp:revision>61</cp:revision>
  <dcterms:created xsi:type="dcterms:W3CDTF">2021-08-03T06:46:00Z</dcterms:created>
  <dcterms:modified xsi:type="dcterms:W3CDTF">2024-09-19T02:50:09Z</dcterms:modified>
</cp:coreProperties>
</file>