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22A95" w14:textId="77777777" w:rsidR="0074511A" w:rsidRDefault="0074511A">
      <w:pPr>
        <w:spacing w:line="276" w:lineRule="auto"/>
        <w:divId w:val="1537622445"/>
      </w:pPr>
      <w:bookmarkStart w:id="0" w:name="_GoBack"/>
      <w:bookmarkEnd w:id="0"/>
    </w:p>
    <w:tbl>
      <w:tblPr>
        <w:tblW w:w="5000" w:type="pct"/>
        <w:tblCellSpacing w:w="0" w:type="dxa"/>
        <w:tblCellMar>
          <w:left w:w="0" w:type="dxa"/>
          <w:right w:w="0" w:type="dxa"/>
        </w:tblCellMar>
        <w:tblLook w:val="04A0" w:firstRow="1" w:lastRow="0" w:firstColumn="1" w:lastColumn="0" w:noHBand="0" w:noVBand="1"/>
      </w:tblPr>
      <w:tblGrid>
        <w:gridCol w:w="9355"/>
      </w:tblGrid>
      <w:tr w:rsidR="0074511A" w14:paraId="4E4B34E6" w14:textId="77777777">
        <w:trPr>
          <w:divId w:val="1537622445"/>
          <w:tblCellSpacing w:w="0" w:type="dxa"/>
        </w:trPr>
        <w:tc>
          <w:tcPr>
            <w:tcW w:w="0" w:type="auto"/>
            <w:vAlign w:val="center"/>
            <w:hideMark/>
          </w:tcPr>
          <w:p w14:paraId="2D987EF4" w14:textId="77777777"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14:paraId="4EA7D3FF" w14:textId="77777777">
        <w:trPr>
          <w:divId w:val="1537622445"/>
          <w:tblCellSpacing w:w="0" w:type="dxa"/>
        </w:trPr>
        <w:tc>
          <w:tcPr>
            <w:tcW w:w="0" w:type="auto"/>
            <w:tcBorders>
              <w:bottom w:val="single" w:sz="8" w:space="0" w:color="000000"/>
            </w:tcBorders>
            <w:vAlign w:val="center"/>
            <w:hideMark/>
          </w:tcPr>
          <w:p w14:paraId="363948BA" w14:textId="11B963CD" w:rsidR="0074511A" w:rsidRDefault="001F1010">
            <w:pPr>
              <w:spacing w:line="276" w:lineRule="auto"/>
              <w:jc w:val="center"/>
              <w:rPr>
                <w:sz w:val="28"/>
                <w:szCs w:val="28"/>
              </w:rPr>
            </w:pPr>
            <w:r>
              <w:rPr>
                <w:b/>
                <w:bCs/>
                <w:sz w:val="28"/>
                <w:szCs w:val="28"/>
              </w:rPr>
              <w:t>Курьинского района</w:t>
            </w:r>
            <w:r w:rsidR="000D3D3D">
              <w:rPr>
                <w:b/>
                <w:bCs/>
                <w:sz w:val="28"/>
                <w:szCs w:val="28"/>
                <w:lang w:val="en-US"/>
              </w:rPr>
              <w:t xml:space="preserve"> </w:t>
            </w:r>
            <w:r w:rsidR="0074511A">
              <w:rPr>
                <w:b/>
                <w:bCs/>
                <w:sz w:val="28"/>
                <w:szCs w:val="28"/>
              </w:rPr>
              <w:t xml:space="preserve">в </w:t>
            </w:r>
            <w:r>
              <w:rPr>
                <w:b/>
                <w:bCs/>
                <w:sz w:val="28"/>
                <w:szCs w:val="28"/>
                <w:lang w:val="en-US"/>
              </w:rPr>
              <w:t>2022</w:t>
            </w:r>
            <w:r w:rsidR="0074511A">
              <w:rPr>
                <w:b/>
                <w:bCs/>
                <w:sz w:val="28"/>
                <w:szCs w:val="28"/>
              </w:rPr>
              <w:t xml:space="preserve"> году.</w:t>
            </w:r>
          </w:p>
        </w:tc>
      </w:tr>
      <w:tr w:rsidR="0074511A" w14:paraId="282A02E3" w14:textId="77777777">
        <w:trPr>
          <w:divId w:val="1537622445"/>
          <w:tblCellSpacing w:w="0" w:type="dxa"/>
        </w:trPr>
        <w:tc>
          <w:tcPr>
            <w:tcW w:w="0" w:type="auto"/>
            <w:vAlign w:val="center"/>
            <w:hideMark/>
          </w:tcPr>
          <w:p w14:paraId="177CC1F8" w14:textId="77777777" w:rsidR="0074511A" w:rsidRDefault="0074511A">
            <w:pPr>
              <w:pStyle w:val="1"/>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14:paraId="6EBD965A" w14:textId="77777777" w:rsidR="0074511A" w:rsidRDefault="0074511A">
      <w:pPr>
        <w:spacing w:after="240" w:line="276" w:lineRule="auto"/>
        <w:divId w:val="1537622445"/>
      </w:pPr>
      <w:r>
        <w:br/>
      </w:r>
      <w:r>
        <w:br/>
      </w:r>
    </w:p>
    <w:p w14:paraId="7A3DFD5E" w14:textId="77777777" w:rsidR="0074511A" w:rsidRDefault="0074511A" w:rsidP="008E0719">
      <w:pPr>
        <w:spacing w:before="240" w:after="240" w:line="276" w:lineRule="auto"/>
        <w:jc w:val="center"/>
        <w:divId w:val="223301121"/>
      </w:pPr>
      <w:r>
        <w:rPr>
          <w:rStyle w:val="a3"/>
          <w:sz w:val="28"/>
          <w:szCs w:val="28"/>
        </w:rPr>
        <w:t xml:space="preserve">Промышленное производство </w:t>
      </w:r>
    </w:p>
    <w:p w14:paraId="7967FFEC" w14:textId="0AE79FEA" w:rsidR="0074511A" w:rsidRPr="001F1010" w:rsidRDefault="001F1010" w:rsidP="001F1010">
      <w:pPr>
        <w:spacing w:line="276" w:lineRule="auto"/>
        <w:jc w:val="both"/>
        <w:divId w:val="223301121"/>
      </w:pPr>
      <w:r w:rsidRPr="001F1010">
        <w:t>     Основными промышленным организациям района являются ООО «Золото Курьи» и Колыванский камнерезный завод имени И.И.Ползунова. В 2022 году объём отгруженной промышленной продукции в действующих ценах по крупным и средним организациям составил 874,3 млн. рублей. Индекс промышленного производства по полному кругу организаций района составил 102,0%. Ведущую роль в промышленности района занимает общество с ограниченной ответственностью «Золото Курьи». Численность рабочих за 2022 год составляет 186 человек, средняя заработная плата на одного человека 40867 рублей. Коллективом предприятия добыто 182 кг золота и 1738 кг серебра. Стабильно работает коллектив камнерезного завода. За 2022 год произведено продукции на 54,81 млн. руб. Это художественные изделия, плита облицовочная, плита надгробная. На предприятии работает 55 человек, средняя зар. плата за 2022 год составляет 39753 рубля. По итогам года предприятием получена прибыль в сумме 3,8 млн. рублей.       </w:t>
      </w:r>
    </w:p>
    <w:p w14:paraId="25D208A8" w14:textId="77777777" w:rsidR="0074511A" w:rsidRDefault="0074511A" w:rsidP="008E0719">
      <w:pPr>
        <w:spacing w:before="240" w:after="240" w:line="276" w:lineRule="auto"/>
        <w:jc w:val="center"/>
        <w:divId w:val="1450320109"/>
      </w:pPr>
      <w:r>
        <w:rPr>
          <w:rStyle w:val="a3"/>
          <w:sz w:val="28"/>
          <w:szCs w:val="28"/>
        </w:rPr>
        <w:t xml:space="preserve">Сельскохозяйственное производство </w:t>
      </w:r>
    </w:p>
    <w:p w14:paraId="53D2D3CA" w14:textId="00E9C93E" w:rsidR="0074511A" w:rsidRPr="008E0719" w:rsidRDefault="00954C8F" w:rsidP="001F1010">
      <w:pPr>
        <w:spacing w:line="276" w:lineRule="auto"/>
        <w:jc w:val="both"/>
        <w:divId w:val="1450320109"/>
      </w:pPr>
      <w:r w:rsidRPr="008E0719">
        <w:t xml:space="preserve">     В Курьинском районе сельским хозяйством занимаются 11 сельскохозяйственных организаций, 2 крестьянских (фермерских) хозяйства и 13 индивидуальных предпринимателей, глав КФХ.     2022 год выдался довольно сложным. Жаркое начало лета, несвоевременные осадки отрицательно сказались на результатах труда. Посевы, угнетенные летней засухой, дали невысокий урожай, в двух хозяйствах более 500 гектаров зерновых было уничтожено градом. Посевная площадь по району составила 52055,5 гектаров, из которых под зерновыми было занято 23483 гектара, под техническими культурами 21118 гектаров, кормовые были размещены на площади 7454,5 гектаров.     Соблюдение технологических процессов и запоздалые осадки все же помогли собрать неплохой урожай. Все хозяйства, в том числе и фермерские с полной ответственностью отнеслись к уборке урожая, в результате чего уборочная компания была проведена в оптимальные сроки. Зерновых культур намолочено 36416 тонны зерна при средней урожайности в амбарном весе 15,5 центнеров с гектара. В том числе пшеницы 19455 тонн при урожайности в весе после доработки 16,3 ц/га.     Самой высокой урожайности добились механизаторы ООО «Приоритет Агро». Они получили по 50,2 центнеров с гектара кукурузы и 29,7 центнера с гектара зерновых культур. Подсолнечника намолочено 10769 тонн при урожайности14 ц/га. Наивысшая урожайность 31,6 ц/га по этой культуре получена ИП Шуховым М.Н.     Не порадовали урожайностью такие культуры как лён 6,6 ц/га, рапс 10,2 ц/га, соя 8,5 ц/га в бункерном весе, после очистки получилось ещё меньше.     Животноводство достаточно сложная </w:t>
      </w:r>
      <w:r w:rsidRPr="008E0719">
        <w:lastRenderedPageBreak/>
        <w:t>отрасль, требующая большого внимания, серьезной племенной работы, прочной кормовой базы и высокой квалификации обслуживающего персонала. В нашем районе оно представлено тремя направлениями: молочное скотоводство, мясное скотоводство, табунное мясное коневодство. Личные подсобные хозяйства дополнительно к перечисленным направлениям занимаются выращиванием овец и коз, кроликов и птицы. Свиноводством из-за низкой рентабельности практически перестали заниматься.     В целом по району на 01.01.2023г. насчитывается 5568 голов КРС в т.ч. в сельхоз. организациях 572 головы. Коров 2579 и 287 голов соответственно.     Хозяйств молочного направления на сегодня два -это ООО «Мир» и ИП глава КФХ Торшин А.Ю., в которых содержится 287 дойных коров и молодняк. Средний надой на корову составил 2373 кг.     Мясное скотоводство: этим направлением занимаются хозяйства Титова А.В. Собственник принял решение о ликвидации поголовья в 2022 году. Сейчас остался только молодняк мясного направления.     Табунное коневодство представлено в ООО «имени Путина В.В». В хозяйстве содержится 201 гол. лошадей.    Хозяйствами всех категорий в 2022г произведено 11275 тонн молока и 1598 тонн мяса.     Из 26 сельскохозяйственных предприятий всего семь получили субсидии из краевого и федерального бюджета на сумму 6,8 млн. руб. из-за сложностей в оформлении документации. За 2022 год получено льготных кредитов на сумму 549 млн. руб. Сельскохозяйственными предприятиями приобретено основных средств (техника, машины и оборудование) на сумму 239,4 млн. руб. КФХ приобрели основных средств на сумму 26,4 млн. руб. </w:t>
      </w:r>
    </w:p>
    <w:p w14:paraId="5A13D8F4" w14:textId="77777777" w:rsidR="0074511A" w:rsidRDefault="0074511A" w:rsidP="008E0719">
      <w:pPr>
        <w:spacing w:before="240" w:after="240" w:line="276" w:lineRule="auto"/>
        <w:jc w:val="center"/>
        <w:divId w:val="1006633197"/>
      </w:pPr>
      <w:r>
        <w:rPr>
          <w:rStyle w:val="a3"/>
          <w:sz w:val="28"/>
          <w:szCs w:val="28"/>
        </w:rPr>
        <w:t xml:space="preserve">Реализация инвестиционных проектов на территории муниципального района </w:t>
      </w:r>
    </w:p>
    <w:p w14:paraId="5AFDAD4B" w14:textId="4DAB013A" w:rsidR="0074511A" w:rsidRPr="008E0719" w:rsidRDefault="00954C8F" w:rsidP="001F1010">
      <w:pPr>
        <w:spacing w:line="276" w:lineRule="auto"/>
        <w:jc w:val="both"/>
        <w:divId w:val="1006633197"/>
      </w:pPr>
      <w:r w:rsidRPr="00954C8F">
        <w:t xml:space="preserve">     За 2022 год в Курьинском районе введено в эксплуатацию 525 кв.м. жилья, это на 36,9 % меньше, чем за 2021 год (1421 кв.м.) Были введены в эксплуатацию 9 нежилых зданий – 4 из них сельскохозяйственного назначения (ООО «Приоритет Агро»). Введено в эксплуатацию после строительства - ГТС на оз. Белое, мойка-самообслуживания; после реконструкции – магазин в с. Курья, Административно-бытовой корпус в с. Усть-Таловке (ГУП ДХ «Южное ДСУ»).     В 2022 году продолжаются работы в рамках муниципальных контрактов по приведению в соответствие с изменениями в законодательстве правил землепользования и застройки в части установления территориальных зон и установления границ населенных пунктов. Территориальных зон внесено в соответствии с дорожной картой Алтайского края 80 %. По внесению сведений о границах населенных пунктов – работы выполнены на 100 %.     За 2022 год на территории района был благоустройстроен парк отдыха в с. Колывань. В рамках программы «Формирование комфортной городской среды» в черте населенного пункта, на месте где когда-то было место отдыха были установлены детская площадка (игровой комплекс для детей, качели и т.д.), элементы паркового благоустройства (скамейки, фонари уличного освещения), а также установлена сцена и обустроена зона для зрителей.     Также в 2022 году было капитально отремонтировано и введено в эксплуатацию здание краеведческого музея. В настоящее время здание как снаружи, так и внутри приобрело современный облик и функциональный интерьер. Летом 2022 года на стадионе Старт в с. Курья была выполнена площадка для установки тренажеров, для сдачи ГТО. Осенью тренажеры были смонтированы и установлены, выполнено </w:t>
      </w:r>
      <w:r w:rsidRPr="00954C8F">
        <w:lastRenderedPageBreak/>
        <w:t>прорезиненное покрытие площадки. Весной этого года площадка будет окончательно смонтирована и сможет эксплуатироваться. Принято решение разместить вблизи отремонтированных объектов камеры наружного наблюдения.     В здании школы в с. Казанцево много лет остро стояла проблема состояния кровли. В прошлом году из средств местного бюджета были частично заменены окна (часть окон была заменена ранее), и полностью проведен капитальный ремонт кровли.     В пяти селах нашего района стало светлее – в с.Кузнецово, с.Трусово, с.Краснознаменке, с. Ивановке, с. Усть-Таловке было установлено уличное освещение. В с. Курья был проведен ремонт уличной сети. Так на улице Советской было отремонтировано 750 м. дороги, по пер. Кавказскому 500 м и ул. Комарова 250 м.     Автодороги: было отремонтировано 5 км. автодороги Курья-Колывань-Бугрышиха. На автодорогах местного значения Курья-Трусово-Калмацкий, подъезд к с. Новофирсово, подъезд к с. Кузнецово и дорога до с. Ивановка была выполнена замена дорожного полотна общей протяженностью 4,5 км.</w:t>
      </w:r>
    </w:p>
    <w:p w14:paraId="50EDF568" w14:textId="77777777" w:rsidR="0074511A" w:rsidRDefault="0074511A" w:rsidP="008E0719">
      <w:pPr>
        <w:spacing w:before="240" w:after="240" w:line="276" w:lineRule="auto"/>
        <w:jc w:val="center"/>
        <w:divId w:val="672149918"/>
      </w:pPr>
      <w:r>
        <w:rPr>
          <w:rStyle w:val="a3"/>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14:paraId="2ED7AA63" w14:textId="40FFA276" w:rsidR="0074511A" w:rsidRPr="001F1010" w:rsidRDefault="001F1010" w:rsidP="001F1010">
      <w:pPr>
        <w:spacing w:line="276" w:lineRule="auto"/>
        <w:jc w:val="both"/>
        <w:divId w:val="672149918"/>
      </w:pPr>
      <w:r w:rsidRPr="001F1010">
        <w:t>В число основных задач социально-экономической политики Администрации Курьинского района входит совершенствование предпринимательского климата, создание условий для устойчивого развития малого и среднего предпринимательства. По итогам 2022 года численность занятых в малом и среднем предпринимательстве, включая индивидуальных предпринимателей составила 683 человека. По видам экономической деятельности большинство работают в сельском хозяйстве и в торговле. Объём поступлений налогов и сборов в местный бюджет района от субъектов малого и среднего предпринимательства составил более 26 млн. рублей.</w:t>
      </w:r>
    </w:p>
    <w:p w14:paraId="22B05A6E" w14:textId="77777777" w:rsidR="0074511A" w:rsidRDefault="0074511A" w:rsidP="008E0719">
      <w:pPr>
        <w:spacing w:before="240" w:after="240" w:line="276" w:lineRule="auto"/>
        <w:jc w:val="center"/>
        <w:divId w:val="1356543834"/>
      </w:pPr>
      <w:r>
        <w:rPr>
          <w:rStyle w:val="a3"/>
          <w:sz w:val="28"/>
          <w:szCs w:val="28"/>
        </w:rPr>
        <w:t xml:space="preserve">Ситуация на рынке труда </w:t>
      </w:r>
    </w:p>
    <w:p w14:paraId="5F43EFBA" w14:textId="333D0258" w:rsidR="0074511A" w:rsidRPr="008E0719" w:rsidRDefault="00954C8F" w:rsidP="001F1010">
      <w:pPr>
        <w:spacing w:line="276" w:lineRule="auto"/>
        <w:jc w:val="both"/>
        <w:divId w:val="1356543834"/>
      </w:pPr>
      <w:r w:rsidRPr="008E0719">
        <w:t>     Социальное благополучие в районе во многом зависит от состояния рынка труда. По состоянию на 01.01.2023г.  трудоспособного населения в районе 3926 человек (на 01.01.2022г. – 3944 человека). Обеспечение занятости населения и повышение доли эффективных рабочих мест – важное направление по повышению качества жизни населения. Так, за 2022 год было создано 42 новых рабочих места.  На начало 2023 года по сравнению с аналогичной датой прошлого года численность официально зарегистрированных безработных в районе уменьшилась на 43 %, составив 48 человек (на 01.01.2022 г. – 84 человека). Уровень регистрируемой безработицы по состоянию на 01.01.2023 г. составил 1,22 % (на 01.01.2022 г. – 2,06 %). В целях поиска подходящей работы в службу занятости населения в 2022 году обратилось 198 человек, трудоустроено 123 человека.     Вопросам охраны труда на предприятиях и в организациях района уделяется серьезное внимание.     В марте 2022 года вступила в силу новая редакция трудового кодекса, согласно которой было организовано обучение руководителей, специалистов, индивидуальных предпринимателей в количестве 57 человек. Всего в 2022 году прошли обучение 157 специалистов (за 2021 год 147).     Количество организаций, завершивших проведение специальной оценки условий труда, составило 1033 рабочих места, на которых занято порядка 1200 работников.     Несчастных случаев на производстве за последние 2 года не происходило.</w:t>
      </w:r>
    </w:p>
    <w:p w14:paraId="4C50A55C" w14:textId="77777777" w:rsidR="0074511A" w:rsidRDefault="0074511A" w:rsidP="008E0719">
      <w:pPr>
        <w:spacing w:before="240" w:after="240" w:line="276" w:lineRule="auto"/>
        <w:jc w:val="center"/>
        <w:divId w:val="1611469857"/>
      </w:pPr>
      <w:r>
        <w:rPr>
          <w:rStyle w:val="a3"/>
          <w:sz w:val="28"/>
          <w:szCs w:val="28"/>
        </w:rPr>
        <w:lastRenderedPageBreak/>
        <w:t xml:space="preserve">Уровень жизни населения </w:t>
      </w:r>
    </w:p>
    <w:p w14:paraId="79AB0DE7" w14:textId="608B8C54" w:rsidR="0074511A" w:rsidRPr="001F1010" w:rsidRDefault="001F1010" w:rsidP="001F1010">
      <w:pPr>
        <w:spacing w:line="276" w:lineRule="auto"/>
        <w:jc w:val="both"/>
        <w:divId w:val="1611469857"/>
      </w:pPr>
      <w:r w:rsidRPr="001F1010">
        <w:t>Уровень жизни населения является важным показателем социальной стабильности любой территории. Среднегодовая численность населения района за 2022 год составила 8319 человек, в 2021 году 8573 чел. Сокращение численности населения составило 254 человека, вызвано миграционным оттоком населения, а также естественной его убылью. В 2022 году по району естественная убыль составила 134 человека. Число родившихся в 2022 году составляет 47 человек, а умерших 181 человек.     Миграционный отток за 2022 составляет 88 человек, в 2021 году 58 человек.   Экономически активное население составляет 3921 человека. В экономике района занято 1845 человек. Одним из основных индикаторов состояния экономики района является уровень заработной платы. Среднемесячная заработная плата одного работника по району увеличилась на 10,2 % к уровню прошлого года и составила 34572 рубля.          Особое место в районе отводится решению проблем, касающихся слабозащищенных слоев населения, пенсионеров, инвалидов.     Одной из главнейших задач, стоящих перед отраслью социальной защиты является выполнение обязательств государства по социальной поддержке отдельных категорий граждан и семей с детьми.В 2022 году обеспечено стабильное выполнение всех социальных обязательств. Гражданам предоставлялось более 80 видов социальных выплат. Это выплаты семьям с детьми, выплаты компенсаций по оплате ЖКУ и субсидии, ежемесячные денежные выплаты ветеранам труда, труженикам тыла, реабилитированным лицам, сельским специалистам и прочие выплаты.     На территории Курьинского района в рамках регионального проекта «Финансовая    поддержка   семей при рождении детей» нацпроекта «Демография» осуществляются два мероприятия:-ежемесячная выплата в связи с рождением (усыновлением) первого ребенка в 2022 году составляла 11 524 рублей, за 2022 год 70 семей получили 7 932 509 рублей.- ежемесячная денежная выплата при рождении третьего ребенка или последующих детей до достижения ребенком возраста трех лет, за 2022 год 73 семьи получили 9 467 779 рублей.  Денежные выплаты семьям с детьми, реализованы в полном объеме в размерах и сроки, установленные законодательством Российской Федерации и Алтайского края. При выполнении программы снижения доли населения с доходами ниже прожиточного минимума через оказание нуждающимся гражданам адресной социальной поддержки и государственной социальной помощи     на основании социального контракта в 2022 году заключен 41 контракт, в т.ч. по направлениям:-поиск работы 24 на сумму 1 353 684 рублей;- занятие индивидуальной предпринимательской деятельностью 5 на сумму 1750 000 рублей;-ведение личного подсобного хозяйства 5 на сумму 460 000 рублей;- иные мероприятия, направленные на преодоление трудной жизненной ситуации 7 социальных контрактов на сумму 259 028 рублей.   В 2023 году будет заключено не менее 53контрактов. Так же важно продолжать сопровождать малоимущие семьи, в том числе те из них, с кем уже заключен социальный контракт.   </w:t>
      </w:r>
    </w:p>
    <w:p w14:paraId="3241552C" w14:textId="77777777" w:rsidR="0074511A" w:rsidRDefault="0074511A" w:rsidP="008E0719">
      <w:pPr>
        <w:spacing w:before="240" w:after="240" w:line="276" w:lineRule="auto"/>
        <w:jc w:val="center"/>
        <w:divId w:val="1437944105"/>
      </w:pPr>
      <w:r>
        <w:rPr>
          <w:rStyle w:val="a3"/>
          <w:sz w:val="28"/>
          <w:szCs w:val="28"/>
        </w:rPr>
        <w:t xml:space="preserve">Состояние местных бюджетов </w:t>
      </w:r>
    </w:p>
    <w:p w14:paraId="7070F5ED" w14:textId="24257C2B" w:rsidR="0074511A" w:rsidRPr="008E0719" w:rsidRDefault="00954C8F" w:rsidP="001F1010">
      <w:pPr>
        <w:spacing w:line="276" w:lineRule="auto"/>
        <w:jc w:val="both"/>
        <w:divId w:val="1437944105"/>
      </w:pPr>
      <w:r w:rsidRPr="008E0719">
        <w:t xml:space="preserve">     Главным приоритетом бюджетной политики было и остаётся развитие налогового потенциала на территории района и увеличение доходов бюджета района. Собственные доходы консолидированного бюджета муниципального образования составили 106,2 миллиона рублей, в том числе в бюджеты сельских поселений района поступило 13,1 </w:t>
      </w:r>
      <w:r w:rsidRPr="008E0719">
        <w:lastRenderedPageBreak/>
        <w:t>миллиона рублей. С учетом безвозмездных поступлений от других бюджетов, доходы районного бюджета, за 2022 год составили 354,0 млн. рублей, консолидированного 372,5 млн. руб.     Доля налоговых и неналоговых доходов бюджета района в общем объеме доходов муниципального образования по итогам 2022 года составила 28,5 %. Рост поступлений собственных доходов к 2021 году составил 9,4 млн. руб. или 9,7 %. Основным источником собственных доходов является налог на доходы физических лиц, общий объем поступлений за 2022 год составил 49,9 млн. руб. или 47,0 % от собственных доходов консолидированного бюджета района, а также доходы, получаемые в виде арендной платы за земельные участки и имущество. Общий объем доходов составил 30,3 млн. руб. или 28,5%. Крупнейшими налогоплательщиками по итогам 2022 года стали ООО «Золото Курьи» и ООО «Приоритет Агро», доля доходов, поступивших в местный бюджет от данных налогоплательщиков составила 18,5 % и 11,7 % соответственно.     Безвозмездные поступления из вышестоящего бюджета в 2022 году составили 266,3 млн. руб. или 71,5 % всех поступлений в бюджет района.     В первую очередь поступающие в бюджет средства направлялись на выплату заработной платы работников бюджетной сферы района (включая начисления по оплате труда), на расчёты за коммунальные услуги, на уплату налогов.     Благодаря софинансированию из краевого бюджета в 2022 году в районе реализовано 5 проектов поддержки местных инициатив. В с. Казанцево, с. Кузнецово проведено благоустройство кладбищ, в с. Колывань проведен ремонт дома культуры, в с. Ручьево построена детская спортивная площадка, в с. Трусово произведен монтаж уличного освещения. Общий объем средств, выделенный на реализацию данных проектов, составил 5,6 млн. руб., из них за счет средств краевого бюджета 4,2 млн. руб., средства местного бюджета 1,1 млн. руб., средства юридических и физических лиц 0,3 млн. руб.      Общий объем освоенных средств направленный на увеличение и улучшение материально-технической базы района составил 55,7 млн. руб.     Общий объем средств направленный в 2022 году на содержание и ремонт автомобильных дорог составил 11,1 млн. руб. из них на ремонт 6,2 млн. руб.     Хочется сказать, что дальнейшая деятельность администрации района будет направлена на увеличение доходной базы районного бюджета, а также оптимизации расходной его части, рационального и эффективного использования бюджетных средств.</w:t>
      </w:r>
    </w:p>
    <w:p w14:paraId="38976BD3" w14:textId="77777777" w:rsidR="0074511A" w:rsidRDefault="0074511A" w:rsidP="008E0719">
      <w:pPr>
        <w:spacing w:before="240" w:after="240" w:line="276" w:lineRule="auto"/>
        <w:jc w:val="center"/>
        <w:divId w:val="1904366202"/>
      </w:pPr>
      <w:r>
        <w:rPr>
          <w:rStyle w:val="a3"/>
          <w:sz w:val="28"/>
          <w:szCs w:val="28"/>
        </w:rPr>
        <w:t xml:space="preserve">Жилищно-коммунальное хозяйство </w:t>
      </w:r>
    </w:p>
    <w:p w14:paraId="22274C61" w14:textId="7E4CE4F0" w:rsidR="0074511A" w:rsidRPr="001F1010" w:rsidRDefault="001F1010" w:rsidP="001F1010">
      <w:pPr>
        <w:spacing w:line="276" w:lineRule="auto"/>
        <w:jc w:val="both"/>
        <w:divId w:val="1904366202"/>
        <w:rPr>
          <w:lang w:val="en-US"/>
        </w:rPr>
      </w:pPr>
      <w:r>
        <w:rPr>
          <w:lang w:val="en-US"/>
        </w:rPr>
        <w:t xml:space="preserve">     К ОЗП 2022-2023 гг. подготовлено три котельные в с. Курья.  Проведено техническое освидетельствование котлов, опрессовка и ремонт теплотрасс, ежегодное техническое обслуживание оборудования, промывка и очистка фильтров, отстойников, очистка внутренних поверхностей котлов и теплообменников. Ремонтные работы осуществляются МКП «Курьинское коммунальное хозяйство».     Теплоснабжающая организация не имеет задолженности перед ресурсоснабжающими организациями.     Объекты теплоснабжения не отключались от энергоснабжения.     Тринадцать бюджетных организаций района отапливаются собственными котельными. Подготовку к отопительному периоду они проводят собственными силами.     На ремонтные работы в сфере ЖКХ было выделено из краевого бюджета 30 млн. руб., местный бюджет составил 1%.     В 2022 году была произведена полностью замена котельной в с. Колывань, кроме склада. Установили резервный </w:t>
      </w:r>
      <w:r>
        <w:rPr>
          <w:lang w:val="en-US"/>
        </w:rPr>
        <w:lastRenderedPageBreak/>
        <w:t>электрогенератор и дробилку угля. Смонтировали котельную с двумя котлами в Краснознаменской СОШ, полностью заменили теплотрассу. Заменили два котла, насосное и электрооборудование в котельной Усть-Таловской СОШ.     В 2022 году также была произведена замена двух котлов на Центральной котельной в с. Курья. Котельные в с. Новофирсово, с. Краснознаменка, с.Колывань оборудованы резервными электрогенераторами. К следующему отопительному периоду резервные электрогенераторы будут установлены еще в трех котельных с. Курья, а также в котельных Усть-Таловской, Трусовской и Ивановской школах.     Все водозаборные скважины в районе оборудованы насосными станциями с частотным преобразователем.     В 2023 году планируются работы по замене котлов на третьей котельной (дворец культуры), а также замене одного котла на Центральной котельной в с. Курья. Произвести замену двух котлов, насосного и электрооборудования в школе с. Казанцево и установить два котла, насосное и электрооборудования в детском саду в с. Ивановка.     Во втором корпусе детского сада «Зоренька» на ул. Подгорной планируется установить дополнительный котел длительного горения.     На скважине (60 лет Октября) планируется смонтировать водонапорную башню. Также в 2023 году запланировано сделать новый переход водопровода через р. Локтевка методом горизонтального бурения, построить соединительный водопровод пер. Больничный и капитально отремонтировать водопровод по пер. Кавказский в с.Курья. </w:t>
      </w:r>
    </w:p>
    <w:p w14:paraId="58A9E30E" w14:textId="77777777" w:rsidR="0074511A" w:rsidRDefault="0074511A" w:rsidP="008E0719">
      <w:pPr>
        <w:spacing w:before="240" w:after="240" w:line="276" w:lineRule="auto"/>
        <w:jc w:val="center"/>
        <w:divId w:val="1972859180"/>
      </w:pPr>
      <w:r>
        <w:rPr>
          <w:rStyle w:val="a3"/>
          <w:sz w:val="28"/>
          <w:szCs w:val="28"/>
        </w:rPr>
        <w:t xml:space="preserve">Социальная сфера </w:t>
      </w:r>
    </w:p>
    <w:p w14:paraId="0DACE479" w14:textId="592C1628" w:rsidR="0074511A" w:rsidRPr="001F1010" w:rsidRDefault="001F1010" w:rsidP="001F1010">
      <w:pPr>
        <w:spacing w:line="276" w:lineRule="auto"/>
        <w:jc w:val="both"/>
        <w:divId w:val="1972859180"/>
        <w:rPr>
          <w:lang w:val="en-US"/>
        </w:rPr>
      </w:pPr>
      <w:r>
        <w:rPr>
          <w:lang w:val="en-US"/>
        </w:rPr>
        <w:t xml:space="preserve">     Система образования Курьинского района - самый большой сегмент социальной сферы района. В ведомстве комитета по образованию находятся 9 школ и 4 детских сада, учреждение дополнительного образования и организация профессионального обучения.      Охват общим средним образованием на конец 2021-2022 учебного года составил 1030 обучающихся, 23 ребёнка-инвалида, 66 обучающихся с ограниченными возможностями здоровья. На семейном обучении 2 учащихся, на дому обучалось 16 учащихся.     Успеваемость по району по итогам учебного года составила 96,6% качество знаний – 38%.     Государственная итоговая аттестация по образовательным программам среднего общего образования в 2022 году проводилась в форме единого государственного экзамена (ЕГЭ). В ЕГЭ приняли участие 27 выпускников текущего года. В итоге аттестаты о среднем общем образовании получили 27 из 27 выпускников, что составляет 100%.     Награждены аттестатом особого образца и медалью «За особые успехи в учении» 2 (две) выпускницы МКОУ «Колыванская сош» (Медведева Полина и Петухова Анастасия), в 2021 году таких выпускников в районе было 10.     Одним из приоритетных направлений общего образования является развитие системы выявления, развития и поддержки одаренных детей. Базовым элементом системы выявления, которых, является Всероссийская олимпиада школьников по общеобразовательным предметам.     В 2021-2022 учебном году на муниципальном этапе приняли участие 300 школьников района, 40 учащихся стали победителями, т.е. заняли 1 место, набрав более 50% от максимально возможного количества баллов, 90 учащихся- призерами, занявшими 2 и 3 места.     Также школы района активно участвовали в олимпиаде для обучающихся начальных классов образовательных организаций, реализующих программы начального общего образования. В муниципальном этапе первое место заняла Курьинская средняя школа.     Важную роль в выявлении, развитии и поддержке </w:t>
      </w:r>
      <w:r>
        <w:rPr>
          <w:lang w:val="en-US"/>
        </w:rPr>
        <w:lastRenderedPageBreak/>
        <w:t xml:space="preserve">одаренных детей играет система дополнительного образования, являющаяся важнейшей составляющей образовательного пространства, которая сочетает в себя воспитание, обучение, социализацию детей, формирует здоровый образ жизни и осуществляет профилактику асоциальных явлений в детско-юношеской среде.     На сегодняшний день систему дополнительного образования представляет муниципальное бюджетное учреждение дополнительного образования «Дом детского творчества».      Почти 86 % от общего количества детей посещают кружки и спортивные секции, клубы по интересам, принимают участие в различных конкурсах и соревнованиях.     Дополнительное образование на территории района остается доступным и бесплатным. Ежегодный объём средств районного бюджета, направляемый для обеспечения и развития системы дополнительного образования, составляет более 3 млн. рублей.      С 01.09.2020 по Поручению Президента РФ от 24.01.2020 № Пр113 и в соответствии с законом об образовании ежедневно бесплатные горячие завтраки получали все учащиеся 1-4 классов.     В новом учебном году на базе МКОУ «Краснознамеская сош» начал работу Центр образования естественно-научной и технологической направленностей «Точка роста», нацеленный на повышение качества подготовки школьников.     В рамках реализации регионального проекта «Современная школа» национального проекта «Образование», продолжается работа по оснащению школ современным оборудованием. Так, в течение 2021-2022 учебного года абсолютно все школы и филиалы получили оборудование и технику в общей сложности на сумму более четырех миллионов рублей.     Каждый год район заключает договоры о целевом обучении с выпускниками наших школ для поступления в педагогические вузы и ссузы Алтайского края.      Всем молодым специалистам предусмотрены муниципальные меры социальной поддержки:·        выплата муниципальных подъёмных в размере 100 тыс. рублей;·        выплата ежемесячной надбавки к заработной плате в первые 3 года работы;·        компенсация аренды жилья – 100%.     В этом году, как и в предыдущие годы, комитет по образованию является уполномоченным органом по организации и контролю летней кампании по обеспечению отдыха и занятости детей.     Всего за летний период оздоровлено 913 детей. Из районного бюджета на эти цели выделено 808 тыс. руб.     На сегодняшний день в дошкольные учреждения района зачислен 151 ребенок. Средняя наполняемость групп – 20 человек; численность воспитанников на одного педработника составляет – 12 человек. В районе очередность в детские сады для детей как от 3 до 7 лет, так и от 1,5 до 3 лет ликвидирована.     В июле 2022 года свои двери для детей дошкольного возраста, после капитального ремонта, вновь открыл первый корпус детского сада «Зоренька».     Важнейшей государственной задачей стал переход на обновленные федеральные государственные образовательные стандарты.     Переход на обновленный ФГОС в районе обеспечен с 1 по 8 класс на 100%, Курьинская средняя общеобразовательная школа перевела на обновленные ФГОС 9 классы.      С 2021 года в образовательных организациях реализуется новая программа воспитания, направленная на формирование базовых ценностей. Одним из ключевых стало направление патриотического воспитания. С 1 сентября еженедельно в школах Курьинского района проходят занятия «Разговор о важном» ключевыми темами стали патриотизм, нравственность.Здравоохранение.     Основная цель развития отрасли здравоохранения- повышение качества и доступности оказания медицинской помощи населению. В 2022 году в нашем районе работали 24 врача и 62 работника среднего медицинского персонала. К врачам всех специальностей за 2022 год было 60946 посещений. В 2022 </w:t>
      </w:r>
      <w:r>
        <w:rPr>
          <w:lang w:val="en-US"/>
        </w:rPr>
        <w:lastRenderedPageBreak/>
        <w:t xml:space="preserve">году проводилась дополнительная диспансеризация определенных групп взрослого населения, углубленная диспансеризация, профилактические медицинские осмотры и медицинские осмотры проф. вредников.     За 2022 г диспансеризацию взрослого населения прошли 1969 человек, что составляет 57 % от плана. Углубленная диспансеризация выполнена на 89,3% от заявленного плана.  С применением мобильных врачебных бригад на ФАПах района осмотрено 550 человек. Благодаря совместной работе медиков ФАПов и выездных врачебных бригад ЦРБ активно проводилась диспансеризация определенных групп взрослого населения на местах. В результате активно провели прием населения терапевты, невролог, педиатры, хирург, лаборанты.  Благодаря этой работе были осмотрены также пациенты, которые в силу своего здоровья и возраста не могут передвигаться.     Культура.     Учреждения культуры района работали, согласно утверждённым планам работы, в соответствии с основными направлениями муниципальной целевой программы «Культура Курьинского района на 2022-2027 годы», регионального проекта «Культура», государственной программы Алтайского края «Развитие культуры Алтайского края на 2020 – 2025 годы.»     Сеть учреждений культуры района сохранена.     В июне 2022 года состоялось торжественное открытие полностью реконструированного здания районного краеведческого музея. Реконструкция осуществлена за счёт средств районного бюджета, объём которых составил порядка 2 млн. рублей. Музей оборудован современным экспозиционным оборудованием, созданы и создаются новые экспозиции и выставки. Основной фонд – 3019 экспонатов. Проведено 169 экскурсий, организовано 29 выставок, проведено 34 тематических мероприятия. В 2022 зарегистрировано 14953 посещения музея. Среди посетителей музея не только жители района, но и гости из соседних районов и регионов.            Колыванский музей истории камнерезного дела на Алтае пользуется заслуженной популярностью среди туристов и посетителей нашего района и регионов России. В 2022 году музеем насчитано 8500 посещений, организовано 13 выставок, проведено 13 тематических мероприятий, проведено 499 экскурсий. В настоящее время музей нуждается в капитальном ремонте, который запланирован на 2024 год в рамках региональной программы «Развитие культуры Алтайского края».     Участие в проекте поддержки местных инициатив позволило отремонтировать Колыванский СДК. Отремонтированы внутренние помещения, система отопления. Всего на сумму 2 055 294,46 рублей.     Полностью заменена система отопления в Новофирсовском СДК.      Решен вопрос о размещении Ивановского СДК в здании Ивановской школы. Выделены помещения, оборудован отдельный вход, проведён соответствующий ремонт на общую сумму 767 816 рублей. В настоящее время СДК успешно функционирует.     В виду ветхого и фактически аварийного состояния Колыванской библиотеки принято решение об её размещении в здании Колыванского СДК. Библиотека пользуется спросом среди населения села, имеет солидный книжный фонд, который необходимо было сохранить.     Работы по оборудованию помещений фактически завершены.     Всего же на пополнение библиотечного фонда и подписку периодических изданий для библиотек района выделено 144,5 тысяч рублей из районного бюджета. Библиотеками района проведено 232 культурно – массовых мероприятий. Постоянно пользуются услугами библиотек 5200 человек. Зарегистрировано 109 724 посещений.         Курьинская детская школа искусств на сегодняшний день по итогам аналитической справки Министерства культуры Алтайского края имеет высокий рейтинг и входит в пятёрку лучших учреждений </w:t>
      </w:r>
      <w:r>
        <w:rPr>
          <w:lang w:val="en-US"/>
        </w:rPr>
        <w:lastRenderedPageBreak/>
        <w:t xml:space="preserve">дополнительного образования детей в сфере культуры Алтайского края.     В школе 173 обучающихся по дополнительным общеразвивающим и предпрофессиональным общеобразовательным программам.     Учащиеся и педагоги Курьинской ДШИ успешно приняли участие в 39–ти различных традиционных, очных и заочных региональных, всероссийских и международных, фестивалях и конкурсах. Это всероссийский конкурсный и фестивальный проект «Ступени мастерства» (Новосибирск), Международный фестиваль исполнения на русских народных инструментах «Русско-Французская культура», Международный конкурс-фестиваль «Общее фортепиано» (Красноярск), VII Межрегиональный конкурс молодых исполнителей на классической гитаре имени Зырянова, VI Международный открытый вокальный конкурс-фестиваль Сибирских детских коллективов «Хрустальные голоса», конкурсе юных вокалистов “Золотая нота» и других. Участие отмечено дипломами различных степеней, среди которых большинство дипломов первой степени и дипломы Лауреатов.     В 2023 году детская школа искусств отметит 55- летие своего основания.     Творческие коллективы клубных учреждений района с успехом представили свои достижения на различных региональных и межрегиональных конкурсах. Так ансамбль казачьей песни «Сполох» достойно представил Алтайский край на межрегиональном фестивале казачьей культуры «Братина» в Томской области. Творческие коллективы  района, среди которых 4 носят звание «Народный самодеятельный коллектив Алтайского края» приняли участие в различных краевых мероприятиях таких, как фестиваль Советской песни, краевой конкурс детско-юношеских коллективов казачьей песни «Золотая подкова», фестиваль творчества людей старшего поколения «Пусть будет сердце вечно молодым!», фестиваль «Поклон селу и людям в нём живущим», краевой открытый фестиваль «Живое древо традиций», краевой песенный  фестиваль «Мы вместе с тобою любимый Алтай» и других. Мастерство коллективов отмечено дипломами Лауреатов и дипломами различных степеней.     Настоящим брендом района является краевой фестиваль - муздесант эстрадной и джазовой музыки «Под звёздным небом Колывани», который проводится на территории нашего района и собирает большое количество участников из различных уголков края. Наш район на данном форуме не первый год успешно представляет ВИА «Стимул» Курьинского Дворца культуры и искусств.     В рамках Марафона культурных событий в районе проведены: праздник «Масленица золотая» в селе Краснознаменка и фестиваль народного творчества «Живая вода заводского пруда» в селе Колывань. В мероприятиях участвовали культурно – досуговые учреждения района, музеи, ДШИ, ремесленники. Фестиваль «Живая вода заводского пруда» стал традиционным и в 2023 году планируется участие в данном мероприятии творческих коллективов соседних районов края, а в перспективе - приобретение статуса межрайонного фестиваля народного творчества, в рамках плана мероприятий по сохранению традиционной народной культуры.     Клубными учреждениями района организовано и проведено 1990 различных культурно – досуговых и тематических мероприятий.     Работало 89 клубных формирований, в которых занято 697 человек. Зарегистрировано 195 тысяч посещений.          Приобретались сценические костюмы, оборудование и аудиоаппаратура, проводился их ремонт. Так же проведен ремонт автотранспорта, находящегося в ведении отдела по культуре (Автобус ПАЗ, автобус «Газель»). На все эти цели из бюджета района выделено 620 тыс. рублей.     Реализация государственной молодежной политики на территории Курьинского района осуществляется в соответствии с муниципальными программами: </w:t>
      </w:r>
      <w:r>
        <w:rPr>
          <w:lang w:val="en-US"/>
        </w:rPr>
        <w:lastRenderedPageBreak/>
        <w:t xml:space="preserve">«Молодежь Курьинского района», «Патриотическое воспитание граждан в Курьинском районе», «Обеспечение жильём молодых семей в Курьинском районе», «Развитие  физической  культуры и спорта в Курьинском районе».     По данным статистики на 01.01.2022г. число зарегистрированной молодежи в районе в возрасте от 14 до 35 лет составляет 1493 человека. В это число входят школьники от 14 до 17 лет, студенты, работающая молодежь (в сравнении с 2021 годом – 1505 человек, что меньше на 12 человек).     В отчетном году финансовое обеспечение на реализацию молодежной политики в районе составило 1997,31 тыс. рублей, из них:-  818,41 тыс. рублей из средств местного-  578,9 тыс. из средств федерального и краевого бюджета;-   600 тыс. рублей привлечено за счет средств федеральных грантов.     По итогам 2022 года в очереди на получение субсидий для улучшения жилищных условий состояло 3 молодых семьи. Одна семья получила субсидию на строительство дома.  На эти цели было выделено 756 тыс. рублей, из них: местный бюджет – 177,1 тыс.руб. Одна семья снята с учета, в связи с самостоятельным улучшением жилищных условий.Патриотическое воспитание молодежи     Число молодежи, вовлеченной в систематическую деятельность по патриотическому воспитанию составляет 970 человек, т.е.  65% от общего числа молодежи.     В районе работает 6 военно-патриотических клубов, в которых занимается 60 человек. Курсанты военно-патриотических клубов являются неотъемлемой частью всех районных патриотических мероприятий, несут вахту памяти в почетном карауле на мемориалах воинской славы. Для повышения престижа военной службы, знакомства с бытом солдат и обмена опытом для курсантов ВПК организуются выезды в военные части и особо охраняемые объекты соседних районов (г.Алейск, Змеиногорск).     Большая работа в районе проведена в рамках празднования 77-летия Победы в Великой Отечественной войне. С участием молодежи проведены патриотические акции «Георгиевская лента», «Свеча памяти», «Знамя Победы», «Вахта памяти», «Я рисую Победу», «Солдатская каша». Все это способствует формированию объективного подхода к событиям, как периода Великой Отечественной войны, так и к событиям более позднего периода.     Ежегодно проводятся военно-полевые сборы с учениками школ и курсантами ВПК, где они демонстрируют свои лучшие физические и морально-волевые качества.  Уже ежегодной стала патриотическая акция «Волна памяти», где силами волонтеров и работающей молодежи ведется благоустройство могил ветеранов Великой Отечественной войны. Благоустроены 17 могил.     В рамках проведения Дня призывника организуются и проводятся торжественные мероприятия для призывников и их родителей. По итогам года на срочную военную службу было призвано 26 человек.     В связи с проведением специальной военной операции на Украине из района было мобилизовано 32 человека. Молодежь активно принимает участие в различных акциях по поддержке мобилизованных граждан, помогают в сборе гуманитарной помощи, участвуют в акциях «Письмо солдату», «Видеооткрытка солдату».Спорт     В 2022 году 1200 спортсменов Курьинского района приняли участие в 38 спортивно-массовых мероприятиях. Из них 17 краевых и межрайонных.На спортивных площадках района проведено 28 стартов.После перерыва, связанного с эпидемиологической ситуацией, возобновлено проведение Олимпиады сельских спортсменов района, в которой приняло участие 250 спортсменов. 1 место заняла команда райцентра. Второе и третье, соответственно команды Краснознаменки и Казанцево.     Особо следует отметить достижения и развитие такого вида спорта, как борьба самбо (тренер Сергей Дмитриевич Гладышев). Наши юные самбисты, а в их </w:t>
      </w:r>
      <w:r>
        <w:rPr>
          <w:lang w:val="en-US"/>
        </w:rPr>
        <w:lastRenderedPageBreak/>
        <w:t>числе не только мальчишки, но и девчонки повышают свое мастерство, набираются соревновательного опыта, радуют своими успехами, защищая честь района на краевых и межрайонных соревнованиях.     Проведён очередной муниципальный этап фестиваля ВФСК «ГТО». В 2022 году 54 учащихся сдали нормы на значок ГТО, это на 6 человек больше, чем в предыдущий период. Из них 26 сдали на золотой значок, 24 –серебряный, 4 – бронзовый     В селе Курья в 2022 году на стадионе установлен новый современный комплекс для подготовки и сдачи норм ГТО, соответствующий всем требованиям безопасности.     Так же в зимнее время для жителей района работал каток и прокат коньков и беговых лыж. В школах района и в здании ДЮСШ ведутся занятия по волейболу, настольному теннису, мини-футболу и самбо. Всего в ДЮСШ занимается 180 детей.     На 2023 год планируется продолжать проведение тренировок на базе ДЮСШ и школ района, проведение плановых соревнований, турниров и президентских состязаний, Олимпиады сельских спортсменов, мероприятий по сдаче норм ГТО, активизировать работу с населением и людьми пожилого возраста.Туризм     Туризм играет значительную роль в социально – экономическом развитии Курьинского района, обеспечивая создание дополнительных рабочих мест, рост занятости трудоспособного, активного   населения и повышение благосостояния населения. Туризм может оживить экономику, оказывая стимулирующее воздействие на развитие таких сфер деятельности, как гостиничный бизнес, транспорт, торговля (включая сувенирную продукцию) общественное питание и т.д.     Курьинский район обладает значительным культурным, историческим, природным потенциалом, способным стать мощным ресурсом для развития туризма.     Для повышения конкурентноспособности и развития туризма в районе реализуется муниципальная программа «Развитие туризма в Курьинском районе» на 2021-2025 годы. Целью программы является - создание благоприятных условий для устойчивого развития внутреннего и въездного туризма на территории Курьинского района.     По итогам 2022 года количество коллективных средств размещения осталось на прежнем уровне и составило 25 Коллективных средств размещения с единовременной вместимостью 872 человека. Благодаря снятию ковидных ограничений туристический поток в район стал восстанавливаться. Количество человек, посетивших наш район составило 71,43 тыс. человек, что на 133 % больше в сравнении в предыдущим годом (53,7 тыс. человек в 2021 году). Из них 32,3 тыс. человек – это посетители музеев. Численность занятых в сфере туризма составило 85 человек.     Администрацией района ведется работа по созданию привлекательного образа Курьинского района для развития сферы туризма. Таким образом количество привлеченных внебюджетных инвестиций на развитие инфраструктуры туризма района составило за 2022 год более 6млн. руб.</w:t>
      </w:r>
    </w:p>
    <w:p w14:paraId="3CC5AB28" w14:textId="77777777" w:rsidR="0074511A" w:rsidRDefault="0074511A">
      <w:pPr>
        <w:spacing w:after="240" w:line="276" w:lineRule="auto"/>
        <w:divId w:val="1537622445"/>
      </w:pPr>
      <w:r>
        <w:br/>
      </w:r>
      <w:r>
        <w:br/>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758"/>
        <w:gridCol w:w="1260"/>
        <w:gridCol w:w="3546"/>
      </w:tblGrid>
      <w:tr w:rsidR="0074511A" w14:paraId="2AB2A4E2" w14:textId="77777777" w:rsidTr="008E0719">
        <w:trPr>
          <w:divId w:val="1191646061"/>
          <w:tblCellSpacing w:w="15" w:type="dxa"/>
          <w:jc w:val="right"/>
        </w:trPr>
        <w:tc>
          <w:tcPr>
            <w:tcW w:w="0" w:type="auto"/>
            <w:vAlign w:val="center"/>
            <w:hideMark/>
          </w:tcPr>
          <w:p w14:paraId="0643F607" w14:textId="4AC21747" w:rsidR="0074511A" w:rsidRPr="001F1010" w:rsidRDefault="001F1010" w:rsidP="008E0719">
            <w:pPr>
              <w:spacing w:line="276" w:lineRule="auto"/>
              <w:jc w:val="right"/>
              <w:rPr>
                <w:sz w:val="28"/>
                <w:szCs w:val="28"/>
                <w:lang w:val="en-US"/>
              </w:rPr>
            </w:pPr>
            <w:r>
              <w:rPr>
                <w:sz w:val="28"/>
                <w:szCs w:val="28"/>
                <w:lang w:val="en-US"/>
              </w:rPr>
              <w:t>Глава</w:t>
            </w:r>
          </w:p>
        </w:tc>
        <w:tc>
          <w:tcPr>
            <w:tcW w:w="0" w:type="auto"/>
            <w:vAlign w:val="bottom"/>
            <w:hideMark/>
          </w:tcPr>
          <w:p w14:paraId="78420B82" w14:textId="77777777" w:rsidR="0074511A" w:rsidRDefault="0074511A">
            <w:r>
              <w:t>__________</w:t>
            </w:r>
          </w:p>
        </w:tc>
        <w:tc>
          <w:tcPr>
            <w:tcW w:w="0" w:type="auto"/>
            <w:vAlign w:val="bottom"/>
            <w:hideMark/>
          </w:tcPr>
          <w:p w14:paraId="18C0776F" w14:textId="46AC9841" w:rsidR="0074511A" w:rsidRPr="001F1010" w:rsidRDefault="001F1010">
            <w:pPr>
              <w:spacing w:line="276" w:lineRule="auto"/>
              <w:rPr>
                <w:sz w:val="28"/>
                <w:szCs w:val="28"/>
                <w:lang w:val="en-US"/>
              </w:rPr>
            </w:pPr>
            <w:r>
              <w:rPr>
                <w:sz w:val="28"/>
                <w:szCs w:val="28"/>
                <w:lang w:val="en-US"/>
              </w:rPr>
              <w:t>Купин Алексей Анатольевич</w:t>
            </w:r>
          </w:p>
        </w:tc>
      </w:tr>
      <w:tr w:rsidR="0074511A" w14:paraId="7CE077F3" w14:textId="77777777" w:rsidTr="008E0719">
        <w:trPr>
          <w:divId w:val="1191646061"/>
          <w:tblCellSpacing w:w="15" w:type="dxa"/>
          <w:jc w:val="right"/>
        </w:trPr>
        <w:tc>
          <w:tcPr>
            <w:tcW w:w="0" w:type="auto"/>
            <w:vAlign w:val="center"/>
            <w:hideMark/>
          </w:tcPr>
          <w:p w14:paraId="226C377D" w14:textId="77777777" w:rsidR="0074511A" w:rsidRDefault="0074511A">
            <w:r>
              <w:t> </w:t>
            </w:r>
          </w:p>
        </w:tc>
        <w:tc>
          <w:tcPr>
            <w:tcW w:w="0" w:type="auto"/>
            <w:hideMark/>
          </w:tcPr>
          <w:p w14:paraId="2C997188" w14:textId="77777777" w:rsidR="0074511A" w:rsidRDefault="0074511A">
            <w:r>
              <w:t>(подпись)</w:t>
            </w:r>
          </w:p>
        </w:tc>
        <w:tc>
          <w:tcPr>
            <w:tcW w:w="0" w:type="auto"/>
            <w:vAlign w:val="center"/>
            <w:hideMark/>
          </w:tcPr>
          <w:p w14:paraId="15A52DF3" w14:textId="77777777" w:rsidR="0074511A" w:rsidRDefault="0074511A">
            <w:r>
              <w:t> </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95"/>
        <w:gridCol w:w="81"/>
      </w:tblGrid>
      <w:tr w:rsidR="0074511A" w14:paraId="4534185B" w14:textId="77777777">
        <w:trPr>
          <w:divId w:val="1537622445"/>
          <w:tblCellSpacing w:w="15" w:type="dxa"/>
        </w:trPr>
        <w:tc>
          <w:tcPr>
            <w:tcW w:w="5550" w:type="dxa"/>
            <w:vAlign w:val="center"/>
            <w:hideMark/>
          </w:tcPr>
          <w:p w14:paraId="4A6699B7" w14:textId="77777777" w:rsidR="0074511A" w:rsidRDefault="0074511A">
            <w:r>
              <w:t> </w:t>
            </w:r>
          </w:p>
        </w:tc>
        <w:tc>
          <w:tcPr>
            <w:tcW w:w="0" w:type="auto"/>
            <w:vAlign w:val="center"/>
            <w:hideMark/>
          </w:tcPr>
          <w:p w14:paraId="5D23E5CF" w14:textId="77777777" w:rsidR="0074511A" w:rsidRDefault="0074511A"/>
        </w:tc>
      </w:tr>
    </w:tbl>
    <w:p w14:paraId="7A9732F2" w14:textId="77777777"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A25ED" w14:textId="77777777" w:rsidR="0082121E" w:rsidRDefault="0082121E" w:rsidP="00D47142">
      <w:r>
        <w:separator/>
      </w:r>
    </w:p>
  </w:endnote>
  <w:endnote w:type="continuationSeparator" w:id="0">
    <w:p w14:paraId="45ABBACB" w14:textId="77777777" w:rsidR="0082121E" w:rsidRDefault="0082121E" w:rsidP="00D4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8DE3B" w14:textId="77777777" w:rsidR="00D47142" w:rsidRDefault="00D47142">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34340" w14:textId="007C92CC" w:rsidR="00D47142" w:rsidRDefault="00D47142" w:rsidP="00D47142">
    <w:pPr>
      <w:pStyle w:val="a6"/>
      <w:jc w:val="right"/>
    </w:pPr>
    <w:r>
      <w:fldChar w:fldCharType="begin"/>
    </w:r>
    <w:r>
      <w:instrText xml:space="preserve"> PAGE  \* MERGEFORMAT </w:instrText>
    </w:r>
    <w:r>
      <w:fldChar w:fldCharType="separate"/>
    </w:r>
    <w:r w:rsidR="00656290">
      <w:rPr>
        <w:noProof/>
      </w:rPr>
      <w:t>11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E02DA" w14:textId="77777777" w:rsidR="00D47142" w:rsidRDefault="00D47142">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5D8B0" w14:textId="77777777" w:rsidR="0082121E" w:rsidRDefault="0082121E" w:rsidP="00D47142">
      <w:r>
        <w:separator/>
      </w:r>
    </w:p>
  </w:footnote>
  <w:footnote w:type="continuationSeparator" w:id="0">
    <w:p w14:paraId="1D469DF9" w14:textId="77777777" w:rsidR="0082121E" w:rsidRDefault="0082121E" w:rsidP="00D471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01AD6" w14:textId="77777777" w:rsidR="00D47142" w:rsidRDefault="00D47142">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B4815" w14:textId="77777777" w:rsidR="00D47142" w:rsidRDefault="00D47142">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63AB7" w14:textId="77777777" w:rsidR="00D47142" w:rsidRDefault="00D4714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42"/>
    <w:rsid w:val="000D3D3D"/>
    <w:rsid w:val="0015389F"/>
    <w:rsid w:val="001F1010"/>
    <w:rsid w:val="00467A05"/>
    <w:rsid w:val="005A1D93"/>
    <w:rsid w:val="00656290"/>
    <w:rsid w:val="00705BA6"/>
    <w:rsid w:val="0074511A"/>
    <w:rsid w:val="0082121E"/>
    <w:rsid w:val="008E0719"/>
    <w:rsid w:val="00954C8F"/>
    <w:rsid w:val="00C97D56"/>
    <w:rsid w:val="00D47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7D70E"/>
  <w15:chartTrackingRefBased/>
  <w15:docId w15:val="{CCFF18FB-2FD0-4234-9917-B6419077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unhideWhenUsed/>
    <w:pPr>
      <w:spacing w:before="100" w:beforeAutospacing="1" w:after="100" w:afterAutospacing="1"/>
    </w:pPr>
  </w:style>
  <w:style w:type="character" w:styleId="a3">
    <w:name w:val="Strong"/>
    <w:basedOn w:val="a0"/>
    <w:uiPriority w:val="22"/>
    <w:qFormat/>
    <w:rPr>
      <w:b/>
      <w:bCs/>
    </w:rPr>
  </w:style>
  <w:style w:type="paragraph" w:styleId="a4">
    <w:name w:val="header"/>
    <w:basedOn w:val="a"/>
    <w:link w:val="a5"/>
    <w:uiPriority w:val="99"/>
    <w:semiHidden/>
    <w:unhideWhenUsed/>
    <w:rsid w:val="00D47142"/>
    <w:pPr>
      <w:tabs>
        <w:tab w:val="center" w:pos="4677"/>
        <w:tab w:val="right" w:pos="9355"/>
      </w:tabs>
    </w:pPr>
  </w:style>
  <w:style w:type="character" w:customStyle="1" w:styleId="a5">
    <w:name w:val="Верхний колонтитул Знак"/>
    <w:basedOn w:val="a0"/>
    <w:link w:val="a4"/>
    <w:uiPriority w:val="99"/>
    <w:semiHidden/>
    <w:rsid w:val="00D47142"/>
    <w:rPr>
      <w:rFonts w:eastAsia="Times New Roman"/>
      <w:sz w:val="24"/>
      <w:szCs w:val="24"/>
    </w:rPr>
  </w:style>
  <w:style w:type="paragraph" w:styleId="a6">
    <w:name w:val="footer"/>
    <w:basedOn w:val="a"/>
    <w:link w:val="a7"/>
    <w:uiPriority w:val="99"/>
    <w:semiHidden/>
    <w:unhideWhenUsed/>
    <w:rsid w:val="00D47142"/>
    <w:pPr>
      <w:tabs>
        <w:tab w:val="center" w:pos="4677"/>
        <w:tab w:val="right" w:pos="9355"/>
      </w:tabs>
    </w:pPr>
  </w:style>
  <w:style w:type="character" w:customStyle="1" w:styleId="a7">
    <w:name w:val="Нижний колонтитул Знак"/>
    <w:basedOn w:val="a0"/>
    <w:link w:val="a6"/>
    <w:uiPriority w:val="99"/>
    <w:semiHidden/>
    <w:rsid w:val="00D4714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5466</Words>
  <Characters>31162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36555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webadmin</dc:creator>
  <cp:keywords/>
  <dc:description/>
  <cp:lastModifiedBy>Экономист</cp:lastModifiedBy>
  <cp:revision>2</cp:revision>
  <dcterms:created xsi:type="dcterms:W3CDTF">2023-04-25T09:15:00Z</dcterms:created>
  <dcterms:modified xsi:type="dcterms:W3CDTF">2023-04-25T09:15:00Z</dcterms:modified>
</cp:coreProperties>
</file>