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11A" w:rsidRDefault="0074511A">
      <w:pPr>
        <w:spacing w:line="276" w:lineRule="auto"/>
        <w:divId w:val="1537622445"/>
      </w:pPr>
    </w:p>
    <w:tbl>
      <w:tblPr>
        <w:tblW w:w="5000" w:type="pct"/>
        <w:tblCellSpacing w:w="0" w:type="dxa"/>
        <w:tblCellMar>
          <w:left w:w="0" w:type="dxa"/>
          <w:right w:w="0" w:type="dxa"/>
        </w:tblCellMar>
        <w:tblLook w:val="04A0"/>
      </w:tblPr>
      <w:tblGrid>
        <w:gridCol w:w="9355"/>
      </w:tblGrid>
      <w:tr w:rsidR="0074511A">
        <w:trPr>
          <w:divId w:val="1537622445"/>
          <w:tblCellSpacing w:w="0" w:type="dxa"/>
        </w:trPr>
        <w:tc>
          <w:tcPr>
            <w:tcW w:w="0" w:type="auto"/>
            <w:vAlign w:val="center"/>
            <w:hideMark/>
          </w:tcPr>
          <w:p w:rsidR="0074511A" w:rsidRDefault="0074511A">
            <w:pPr>
              <w:spacing w:line="276" w:lineRule="auto"/>
              <w:jc w:val="center"/>
              <w:rPr>
                <w:b/>
                <w:bCs/>
                <w:sz w:val="28"/>
                <w:szCs w:val="28"/>
              </w:rPr>
            </w:pPr>
            <w:r>
              <w:rPr>
                <w:b/>
                <w:bCs/>
                <w:sz w:val="28"/>
                <w:szCs w:val="28"/>
              </w:rPr>
              <w:t>Информация о социально-экономическом развитии</w:t>
            </w:r>
          </w:p>
        </w:tc>
      </w:tr>
      <w:tr w:rsidR="0074511A">
        <w:trPr>
          <w:divId w:val="1537622445"/>
          <w:tblCellSpacing w:w="0" w:type="dxa"/>
        </w:trPr>
        <w:tc>
          <w:tcPr>
            <w:tcW w:w="0" w:type="auto"/>
            <w:tcBorders>
              <w:bottom w:val="single" w:sz="8" w:space="0" w:color="000000"/>
            </w:tcBorders>
            <w:vAlign w:val="center"/>
            <w:hideMark/>
          </w:tcPr>
          <w:p w:rsidR="0074511A" w:rsidRDefault="001F1010">
            <w:pPr>
              <w:spacing w:line="276" w:lineRule="auto"/>
              <w:jc w:val="center"/>
              <w:rPr>
                <w:sz w:val="28"/>
                <w:szCs w:val="28"/>
              </w:rPr>
            </w:pPr>
            <w:r>
              <w:rPr>
                <w:b/>
                <w:bCs/>
                <w:sz w:val="28"/>
                <w:szCs w:val="28"/>
              </w:rPr>
              <w:t>Курьинского района</w:t>
            </w:r>
            <w:r w:rsidR="000D3D3D">
              <w:rPr>
                <w:b/>
                <w:bCs/>
                <w:sz w:val="28"/>
                <w:szCs w:val="28"/>
                <w:lang w:val="en-US"/>
              </w:rPr>
              <w:t xml:space="preserve"> </w:t>
            </w:r>
            <w:r w:rsidR="0074511A">
              <w:rPr>
                <w:b/>
                <w:bCs/>
                <w:sz w:val="28"/>
                <w:szCs w:val="28"/>
              </w:rPr>
              <w:t xml:space="preserve">в </w:t>
            </w:r>
            <w:r>
              <w:rPr>
                <w:b/>
                <w:bCs/>
                <w:sz w:val="28"/>
                <w:szCs w:val="28"/>
                <w:lang w:val="en-US"/>
              </w:rPr>
              <w:t>2021</w:t>
            </w:r>
            <w:r w:rsidR="0074511A">
              <w:rPr>
                <w:b/>
                <w:bCs/>
                <w:sz w:val="28"/>
                <w:szCs w:val="28"/>
              </w:rPr>
              <w:t xml:space="preserve"> году.</w:t>
            </w:r>
          </w:p>
        </w:tc>
      </w:tr>
      <w:tr w:rsidR="0074511A">
        <w:trPr>
          <w:divId w:val="1537622445"/>
          <w:tblCellSpacing w:w="0" w:type="dxa"/>
        </w:trPr>
        <w:tc>
          <w:tcPr>
            <w:tcW w:w="0" w:type="auto"/>
            <w:vAlign w:val="center"/>
            <w:hideMark/>
          </w:tcPr>
          <w:p w:rsidR="0074511A" w:rsidRDefault="0074511A">
            <w:pPr>
              <w:pStyle w:val="1"/>
              <w:spacing w:line="276" w:lineRule="auto"/>
              <w:jc w:val="center"/>
              <w:rPr>
                <w:sz w:val="22"/>
                <w:szCs w:val="22"/>
              </w:rPr>
            </w:pPr>
            <w:r w:rsidRPr="00D47142">
              <w:rPr>
                <w:sz w:val="22"/>
                <w:szCs w:val="22"/>
              </w:rPr>
              <w:t>(официальное наименование городского округа (муниципального района)</w:t>
            </w:r>
          </w:p>
        </w:tc>
      </w:tr>
    </w:tbl>
    <w:p w:rsidR="0074511A" w:rsidRDefault="0074511A">
      <w:pPr>
        <w:spacing w:after="240" w:line="276" w:lineRule="auto"/>
        <w:divId w:val="1537622445"/>
      </w:pPr>
      <w:r>
        <w:br/>
      </w:r>
      <w:r>
        <w:br/>
      </w:r>
    </w:p>
    <w:p w:rsidR="0074511A" w:rsidRDefault="0074511A" w:rsidP="008E0719">
      <w:pPr>
        <w:spacing w:before="240" w:after="240" w:line="276" w:lineRule="auto"/>
        <w:jc w:val="center"/>
        <w:divId w:val="223301121"/>
      </w:pPr>
      <w:r>
        <w:rPr>
          <w:rStyle w:val="a3"/>
          <w:sz w:val="28"/>
          <w:szCs w:val="28"/>
        </w:rPr>
        <w:t xml:space="preserve">Промышленное производство </w:t>
      </w:r>
    </w:p>
    <w:p w:rsidR="0074511A" w:rsidRPr="001F1010" w:rsidRDefault="001F1010" w:rsidP="001F1010">
      <w:pPr>
        <w:spacing w:line="276" w:lineRule="auto"/>
        <w:jc w:val="both"/>
        <w:divId w:val="223301121"/>
      </w:pPr>
      <w:r w:rsidRPr="001F1010">
        <w:t>          Основными  промышленным организациям района являются ООО «Золото Курьи»  и  Колыванский камнерезный завод имени И.И.Ползунова. В 2021 году объём отгруженной промышленной продукции в действующих ценах по крупным и средним организациям составил 1026,1 млн. рублей. Индекс промышленного производства по полному кругу организаций района составил 166,7%. Ведущую роль в промышленности района занимает общество с ограниченной ответственностью «Золото Курьи». Коллективом предприятия добыто 147 кг золота и 274 кг серебра. Стабильно работает коллектив камнерезного завода. По итогам года предприятием получена прибыль в сумме 2,7 млн. рублей.       </w:t>
      </w:r>
    </w:p>
    <w:p w:rsidR="0074511A" w:rsidRDefault="0074511A" w:rsidP="008E0719">
      <w:pPr>
        <w:spacing w:before="240" w:after="240" w:line="276" w:lineRule="auto"/>
        <w:jc w:val="center"/>
        <w:divId w:val="1450320109"/>
      </w:pPr>
      <w:r>
        <w:rPr>
          <w:rStyle w:val="a3"/>
          <w:sz w:val="28"/>
          <w:szCs w:val="28"/>
        </w:rPr>
        <w:t xml:space="preserve">Сельскохозяйственное производство </w:t>
      </w:r>
    </w:p>
    <w:p w:rsidR="0074511A" w:rsidRPr="008E0719" w:rsidRDefault="00954C8F" w:rsidP="001F1010">
      <w:pPr>
        <w:spacing w:line="276" w:lineRule="auto"/>
        <w:jc w:val="both"/>
        <w:divId w:val="1450320109"/>
      </w:pPr>
      <w:r w:rsidRPr="008E0719">
        <w:t>В Курьинском районе сельским хозяйством занимаются 11 сельскохозяйственных организаций, 2 крестьянских (фермерских) хозяйства  и 14 индивидуальных предпринимателей, глав КФХ. Валовой сбор зерновых и зернобобовых культур в хозяйствах всех категорий в весе после доработки составил 37950 тонн, что на 17925 тонн больше чем в 2020 году.  Средняя урожайность зерновых культур с убранной площади  по району составила 16,6 ц/га, а в 2020 - 8,2 ц/га. Валовой сбор подсолнечника на зерно в первоначально оприходованном весе  составил 8542 тонны, в 2020 году - 6313 тонн,  урожайность  с убранной площади составила 13,8 ц/га.,  в 2020 - 9,7 ц/га. В отчетном году сельскохозяйственными организациями вспахано зяби 21580 га,  посеяно озимых культур на площади 108 га.  Засыпано 98% семян всех сельскохозяйственных культур для посева  в текущем году.  Ситуация в животноводстве района. Природно-климатические условия сложившиеся в 2020 году отразились негативным образом на растениеводстве и животноводстве, не дополучив плановых объемов продукции растениеводства, в том числе кормов для животных, сократилась численность и продуктивность основного стада, не дополучили прирост живой массы молодняка КРС на выращивании и откорме. По итогам  12 месяцев  2021 года во всех категориях хозяйств  поголовье  крупного рогатого скота насчитывается 6455 голов; в том числе   коров 3254 голов, к уровню прошлого года меньше на 312 голов общего поголовья КРС и 381 корову. Поголовье свиней в целом по району насчитывается 630 голов, а в 2020году  721 голова. Численность овец  по району  составляет 3773 головы, в 2020 году  3854 голов. Произведено 12530 тонн молока, что составило 94,3% (минус 757 тонн) от прошлогоднего объема молока. Хозяйства района всех категорий отправили на  убой скота в живой массе 1367 тонну, уменьшив объем реализации 2020 года  на 362 тонны.</w:t>
      </w:r>
    </w:p>
    <w:p w:rsidR="0074511A" w:rsidRDefault="0074511A" w:rsidP="008E0719">
      <w:pPr>
        <w:spacing w:before="240" w:after="240" w:line="276" w:lineRule="auto"/>
        <w:jc w:val="center"/>
        <w:divId w:val="1006633197"/>
      </w:pPr>
      <w:r>
        <w:rPr>
          <w:rStyle w:val="a3"/>
          <w:sz w:val="28"/>
          <w:szCs w:val="28"/>
        </w:rPr>
        <w:lastRenderedPageBreak/>
        <w:t xml:space="preserve">Реализация инвестиционных проектов на территории муниципального района </w:t>
      </w:r>
    </w:p>
    <w:p w:rsidR="0074511A" w:rsidRPr="008E0719" w:rsidRDefault="00954C8F" w:rsidP="001F1010">
      <w:pPr>
        <w:spacing w:line="276" w:lineRule="auto"/>
        <w:jc w:val="both"/>
        <w:divId w:val="1006633197"/>
      </w:pPr>
      <w:r w:rsidRPr="00954C8F">
        <w:t>      За 2021год в Курьинском районе введено в эксплуатацию  1421 кв.м. жилья, это на 47,4% больше, чем за 2020 год (964 кв.м). Также были введены в эксплуатацию нежилые здания – 7 из них сельскохозяйственного назначения (ООО «Приоритет Агро»). Часть из них были реконструированы, часть построены.  В 2021 году продолжаются работы в рамках муниципальных контрактов по приведению в соответствие с изменениями в законодательстве правил землепользования и застройки в части установления территориальных зон и установления границ населенных пунктов. Территориальных зон внесено более 60 %. По внесению сведений о границах населенных пунктов – ведутся подготовительные работы.  Реализация Федеральной целевой программы  «Комплексное развитие сельских территорий» в части улучшения жилищных условий жителей села в 2021 году была осуществлена в виде второй выплаты участнице программы, начавшей строительство в 2020 году. В связи с небольшим финансированием других участников программы не было.   За 2021 год  было отремонтировано 17 км автодороги Курья-Колывань-Бугрышиха  и 5,6 км автодороги Поспелиха- Курья-Третьяково-граница республики Казахстан. На автодорогах Курья-Трусово-Калмацкий 1,7 км и  подъезд к с.Кузнецово  3 км  выполнены работы по содержанию и восстановлению верхних слоев.Объём инвестиций по району в 2021 году составил 74,3  млн.рублей (в 2020 году – 61,4 млн.руб.). Индекс физического объёма составил 121,0 % (в 2020 году составлял 27,95%).</w:t>
      </w:r>
    </w:p>
    <w:p w:rsidR="0074511A" w:rsidRDefault="0074511A" w:rsidP="008E0719">
      <w:pPr>
        <w:spacing w:before="240" w:after="240" w:line="276" w:lineRule="auto"/>
        <w:jc w:val="center"/>
        <w:divId w:val="672149918"/>
      </w:pPr>
      <w:r>
        <w:rPr>
          <w:rStyle w:val="a3"/>
          <w:sz w:val="28"/>
          <w:szCs w:val="28"/>
        </w:rPr>
        <w:t xml:space="preserve">Состояние малого и среднего предпринимательства, меры государственной поддержки малого и среднего предпринимательства </w:t>
      </w:r>
    </w:p>
    <w:p w:rsidR="0074511A" w:rsidRPr="001F1010" w:rsidRDefault="001F1010" w:rsidP="001F1010">
      <w:pPr>
        <w:spacing w:line="276" w:lineRule="auto"/>
        <w:jc w:val="both"/>
        <w:divId w:val="672149918"/>
      </w:pPr>
      <w:r w:rsidRPr="001F1010">
        <w:t>В число основных задач социально-экономической политики Администрации Курьинского района входит совершенствование предпринимательского климата, создание условий для устойчивого развития малого и среднего предпринимательства. По итогам 2021 года численность занятых в малом и среднем предпринимательстве, включая индивидуальных предпринимателей составила 730 человек. По видам экономической деятельности большинство работают в сельском хозяйстве и в торговле. Объём поступлений налогов и сборов в местный бюджет района от субъектов малого и среднего предпринимательства составил более 18,8 млн. рублей.</w:t>
      </w:r>
    </w:p>
    <w:p w:rsidR="0074511A" w:rsidRDefault="0074511A" w:rsidP="008E0719">
      <w:pPr>
        <w:spacing w:before="240" w:after="240" w:line="276" w:lineRule="auto"/>
        <w:jc w:val="center"/>
        <w:divId w:val="1356543834"/>
      </w:pPr>
      <w:r>
        <w:rPr>
          <w:rStyle w:val="a3"/>
          <w:sz w:val="28"/>
          <w:szCs w:val="28"/>
        </w:rPr>
        <w:t xml:space="preserve">Ситуация на рынке труда </w:t>
      </w:r>
    </w:p>
    <w:p w:rsidR="0074511A" w:rsidRPr="008E0719" w:rsidRDefault="00954C8F" w:rsidP="001F1010">
      <w:pPr>
        <w:spacing w:line="276" w:lineRule="auto"/>
        <w:jc w:val="both"/>
        <w:divId w:val="1356543834"/>
      </w:pPr>
      <w:r w:rsidRPr="008E0719">
        <w:t xml:space="preserve">Социальное благополучие в районе во многом зависит от состояния рынка труда. Ситуация на рынке труда в 2021 году во многом определялась процессами, происходящими в экономике. Трудоспособного населения в районе по состоянию на 01.01.2022 г.  3944 человека (на 01.01.2021 г. – 4080 человек). Обеспечение занятости населения и повышение доли эффективных рабочих мест – важное направление по повышению качества жизни населения. Так, за 2021 год было создано 44 рабочих места.  На начало 2022 года по сравнению с аналогичной датой прошлого года численность официально зарегистрированных безработных в районе уменьшилась на </w:t>
      </w:r>
      <w:r w:rsidRPr="008E0719">
        <w:lastRenderedPageBreak/>
        <w:t>44 %, составив 84 человека (на 01.01.2021 г. – 150 человек). Уровень регистрируемой безработицы по состоянию на 01.01.2022 г. составил 2,13 % (на 01.01.2021 г. – 3,68 %). В целях поиска подходящей работы в службу занятости населения в 2021 году обратилось 278 человек, трудоустроено в 2021 году 158 человек.Вопросам охраны труда на предприятиях и в организациях района уделяется серьезное внимание. Увеличилось количество организаций, завершивших проведение специальной оценки условий труда. Обследовано 1203 рабочих места, на которых занято порядка 1500 работников.  Несчастных случаев на производстве за 2021 год не происходило. На особом контроле обучение по охране труда, так за 2021 год обучено 147 руководителей и специалистов района (за 2020 год 38).Продолжается систематическая работа по сокращению неформальной занятости, в результате которой 106 человек были оформлены официально, с заключением трудовых договоров с работодателем. </w:t>
      </w:r>
    </w:p>
    <w:p w:rsidR="0074511A" w:rsidRDefault="0074511A" w:rsidP="008E0719">
      <w:pPr>
        <w:spacing w:before="240" w:after="240" w:line="276" w:lineRule="auto"/>
        <w:jc w:val="center"/>
        <w:divId w:val="1611469857"/>
      </w:pPr>
      <w:r>
        <w:rPr>
          <w:rStyle w:val="a3"/>
          <w:sz w:val="28"/>
          <w:szCs w:val="28"/>
        </w:rPr>
        <w:t xml:space="preserve">Уровень жизни населения </w:t>
      </w:r>
    </w:p>
    <w:p w:rsidR="0074511A" w:rsidRPr="001F1010" w:rsidRDefault="001F1010" w:rsidP="001F1010">
      <w:pPr>
        <w:spacing w:line="276" w:lineRule="auto"/>
        <w:jc w:val="both"/>
        <w:divId w:val="1611469857"/>
      </w:pPr>
      <w:r w:rsidRPr="001F1010">
        <w:t>    Уровень жизни населения является важным показателем социальной стабильности любой территории. Среднегодовая численность населения района за 2021 год составила 8573 человека, в 2020 году 8772 чел. Сокращение численности населения составило 199 человек, вызвано миграционным оттоком населения, а также естественной его убылью. В 2021 году по району естественная убыль составила 139 человек. Число родившихся в 2021 году  составляет 81 человек, а умерших 223 человека. Миграционный отток за 2021 составляет 58 человек, в 2020 году 62 человека.   Экономически активное население составляет 4013 человек. В экономике района занято 1894 человека. Одним из основных индикаторов состояния экономики района является уровень заработной платы. Среднемесячная заработная плата одного работника по району увеличилась на 11,3 % к уровню прошлого года и составила 30891 рублей.           Особое место в районе отводится решению проблем, касающихся слабозащищенных слоев населения, пенсионеров, инвалидов.   Одной из главнейших задач стоящих перед отраслью социальной защиты  является выполнение обязательств государства по социальной поддержке отдельных категорий граждан и семей с детьми. Общий объем выплат в 2021 году для граждан Курьинского района составил 109, 6 млн. рублей.   На территории  Курьинского  района  в рамках регионального проекта  «Финансовая    поддержка   семей при рождении детей» нацпроекта  «Демография»  осуществляются два мероприятия:-ежемесячная выплата в связи с рождением (усыновлением) первого ребенка.  За 2021 год 83 семьи получили 7, 4 млн.  рублей.- ежемесячная денежная выплата при рождении третьего ребенка или последующих детей до достижения ребенком возраста трех лет. За 2021 год 82 семьи получили 8, 4 млн.  рублей.  При выполнении программы снижения доли населения с доходами ниже прожиточного минимума через оказание нуждающимся гражданам адресной социальной поддержки и государственной социальной помощи     на основании социального контракта в 2021 году заключено 36 контрактов, в т.ч. по направлениям:-поиск работы 20 на сумму 861, 6 тыс. рублей;- занятие индивидуальной предпринимательской деятельностью 1 на сумму 150,0 тыс. рублей;-ведение личного подсобного хозяйства 6 на сумму 400, тыс. рублей;- иные мероприятия, направленные на преодоление трудной жизненной ситуации 9 социальных контрактов на сумму  100, 7 тыс. рублей.</w:t>
      </w:r>
    </w:p>
    <w:p w:rsidR="0074511A" w:rsidRDefault="0074511A" w:rsidP="008E0719">
      <w:pPr>
        <w:spacing w:before="240" w:after="240" w:line="276" w:lineRule="auto"/>
        <w:jc w:val="center"/>
        <w:divId w:val="1437944105"/>
      </w:pPr>
      <w:r>
        <w:rPr>
          <w:rStyle w:val="a3"/>
          <w:sz w:val="28"/>
          <w:szCs w:val="28"/>
        </w:rPr>
        <w:lastRenderedPageBreak/>
        <w:t xml:space="preserve">Состояние местных бюджетов </w:t>
      </w:r>
    </w:p>
    <w:p w:rsidR="0074511A" w:rsidRPr="008E0719" w:rsidRDefault="00954C8F" w:rsidP="001F1010">
      <w:pPr>
        <w:spacing w:line="276" w:lineRule="auto"/>
        <w:jc w:val="both"/>
        <w:divId w:val="1437944105"/>
      </w:pPr>
      <w:r w:rsidRPr="008E0719">
        <w:t>Главным приоритетом бюджетной политики было и остаётся развитие налогового потенциала на территории района и увеличение доходов бюджета района. Собственные доходы консолидированного бюджета муниципального образования составили 96,8 миллионов рублей,  в том числе в бюджеты сельских поселений района поступило 11,7 миллионов рублей. С учетом безвозмездных поступлений от других бюджетов, доходы районного бюджета, за 2021 год составили 324,7 млн. рублей, консолидированного 338,2 млн. руб. Доля налоговых и неналоговых доходов бюджета района в общем объеме доходов муниципального образования по итогам 2021 года составила 28,6 %. Рост поступлений собственных доходов к 2020 году составил  4,7 млн. руб. или 5,1 %. Основным источником собственных доходов является налог на доходы физических лиц, общий объем поступлений за 2021 год составил 44,1 млн. руб. или 45,6 % от собственных доходов консолидированного бюджета района, а также доходы получаемые в виде арендной платы за земельные участки и имущество. Общий объем доходов составил 24,0 млн. руб. Крупнейшими  налогоплательщиками  по итогам 2021 года стали ООО «Золото Курьи» и  ООО «Приоритет Агро», доля  доходов поступивших в местный бюджет  от данных налогоплательщиков  составила 18,2 % и 11,1 % соответственно.Безвозмездные поступления из вышестоящего бюджета в 2021 году составили 241,4 млн. руб. или 71,4 % всех поступлений в бюджет района.В первую очередь поступающие в бюджет средства направлялись на выплату заработной платы работников бюджетной сферы района (включая начисления по оплате труда), на расчёты за коммунальные услуги, на уплату налогов. Общий объем собственных средств направленный на данные виды расходов составил 55,6 млн. руб.Благодаря софинансированию из краевого бюджета в 2021 году в районе реализовано 5 проектов поддержки местных инициатив. В с. Колывань, с. Кузнецово и в с. Трусово проведен ремонт водопровода, в с. Новофирсово проведен ремонт памятника воинам павшим в годы ВОВ, в с. Казанцево построена детская площадка. Общий объем средств выделенный на реализацию данных проектов составил 4,3 млн. руб.,  из них за счет средств краевого бюджета 3,3 млн. руб., средства местного бюджета  0,7 млн. руб., средства юридических и физических лиц 0,3 млн. руб. Также в 2021 году на территории района были отремонтированы два спортивных зала в с. Колывань и в с. Усть-Таловка, проведен капитальный ремонт  (замена окон) в школе в с. Ивановка, приобретена и смонтирована модульная котельная в с. Новофирсово, заменено котельное оборудование в школьной котельной с. Трусово, возведено гидро-техническое сооружение на озере Белое, приобретена и смонтирована спортивная площадка в с. Колывань, ведется капитальный ремонт детского сада «Зоренька» в с. Курья, проведен капитальный ремонт дорожного покрытия в с. Курья.Общий объем освоенных средств направленный на увеличение и улучшение материально-технической базы района составил 84,2 млн. руб.Общий объем средств направленный в 2021 году содержание и ремонт автомобильных дорог составил 8,1 млн. руб. из них на ремонт 2,9 млн. руб.Хочется сказать, что дальнейшая деятельность администрации района будет направлена на увеличение доходной базы районного бюджета, а также оптимизации расходной его части, рационального и эффективного использования бюджетных средств.</w:t>
      </w:r>
    </w:p>
    <w:p w:rsidR="0074511A" w:rsidRDefault="0074511A" w:rsidP="008E0719">
      <w:pPr>
        <w:spacing w:before="240" w:after="240" w:line="276" w:lineRule="auto"/>
        <w:jc w:val="center"/>
        <w:divId w:val="1904366202"/>
      </w:pPr>
      <w:r>
        <w:rPr>
          <w:rStyle w:val="a3"/>
          <w:sz w:val="28"/>
          <w:szCs w:val="28"/>
        </w:rPr>
        <w:lastRenderedPageBreak/>
        <w:t xml:space="preserve">Жилищно-коммунальное хозяйство </w:t>
      </w:r>
    </w:p>
    <w:p w:rsidR="0074511A" w:rsidRPr="001F1010" w:rsidRDefault="001F1010" w:rsidP="001F1010">
      <w:pPr>
        <w:spacing w:line="276" w:lineRule="auto"/>
        <w:jc w:val="both"/>
        <w:divId w:val="1904366202"/>
        <w:rPr>
          <w:lang w:val="en-US"/>
        </w:rPr>
      </w:pPr>
      <w:r>
        <w:rPr>
          <w:lang w:val="en-US"/>
        </w:rPr>
        <w:t>К отопительно-зимнему периоду 2021-2022гг. подготовлены три котельные в с. Курья.  Проведено техническое освидетельствование  котлов, опрессовка и ремонт теплотрасс,  ежегодное техническое обслуживание оборудования, промывка и очистка фильтров, отстойников, очистка внутренних поверхностей котлов и теплообменников. Капитально отремонтирована система шлокозолоудаления на центральной котельной (заменены звездочки и подшипники на тяговом устройстве и тяговая цепь на сумму 447, 0 тыс. руб.). Произведен ремонт теплотрассы с заменой части труб по ул. Молодежной и за старой котельной на  сумму 107,6 тыс.руб. Заменено по одному дымососу на котельных «Центральная» и «ДК» (107,0 тыс. руб.). Ремонтные работы осуществляются МКП «Курьинское коммунальное хозяйство».Тринадцать бюджетных организаций района отапливаются собственными котельными. Подготовку к отопительному периоду они проводят собственными силами. Произведена чистка котлов со вскрытием части труб в Усть-Таловской, Казанцевской, Трусовской, Кузнецовской школах. В рамках государственной программы Алтайского края «Обеспечение населения Алтайского края жилищно-коммунальными услугами»  смонтирована модульная котельная, с двумя котлами длительного горения в Новофирсовской школе (цена контракта 5,9 млн. руб. доля местного бюджета 59,35тыс.руб.). Установлены резервные сетевые насосы в котельных Ивановской школе, Усть-Таловской школе и Ивановском детском саду (96 тыс.руб.). Произведен ремонт здания котельной в Казанцевской школе (199,8тыс. руб.). Заменили котлы КВр на котлы длительного горения в котельной Трусовской школы (1,77 млн.руб).В рамках программы поддержки местных инициатив в произведен ремонт систем водоснабжения в с.Трусово(1175,5тыс.руб), с.Кузнецово(867,4тыс.руб) и с.Колывань(1213,3тыс.руб). Доля местного бюджета: 230,4тыс. руб., 139,0 тыс.руб. и 426,5 тыс.руб. соответственно.Ведутся работы по включению Курьинского района  в государственную программу Алтайского края «Обеспечение населения Алтайского края жилищно-коммунальными услугами». В рамках этой программы планируется установить модульную котельную в Краснознаменской школе, заменить модульную котельную в Колыванской школе, заменить котлы в котельных «Центральная» и «ДК», капитально отремонтировать часть теплотрассы (1082 метра) от Центральной котельной по ул. Молодежной, ул. Советской и пер. Коммунистическому.  </w:t>
      </w:r>
    </w:p>
    <w:p w:rsidR="0074511A" w:rsidRDefault="0074511A" w:rsidP="008E0719">
      <w:pPr>
        <w:spacing w:before="240" w:after="240" w:line="276" w:lineRule="auto"/>
        <w:jc w:val="center"/>
        <w:divId w:val="1972859180"/>
      </w:pPr>
      <w:r>
        <w:rPr>
          <w:rStyle w:val="a3"/>
          <w:sz w:val="28"/>
          <w:szCs w:val="28"/>
        </w:rPr>
        <w:t xml:space="preserve">Социальная сфера </w:t>
      </w:r>
    </w:p>
    <w:p w:rsidR="0074511A" w:rsidRPr="001F1010" w:rsidRDefault="001F1010" w:rsidP="001F1010">
      <w:pPr>
        <w:spacing w:line="276" w:lineRule="auto"/>
        <w:jc w:val="both"/>
        <w:divId w:val="1972859180"/>
        <w:rPr>
          <w:lang w:val="en-US"/>
        </w:rPr>
      </w:pPr>
      <w:r>
        <w:rPr>
          <w:lang w:val="en-US"/>
        </w:rPr>
        <w:t xml:space="preserve">Образование. В системе образования Курьинского района функционируют 9 общеобразовательных школ, 4 детских сада, 1 учреждение дополнительного образования (Дом детского творчества) и 1 учреждение профессионального обучения (Межшкольный учебный комбинат).       Общий объем финансирования системы образования в 2021 году составил 172,4 млн.  руб.       В рамках реализации Указа Президента Российской Федерации «О мерах по реализации государственной политики в области образования и науки»:       1. Учёт детей, получающих дошкольное образование осуществляется в автоматизированной информационной системе «Е-услуги. Образование». Удовлетворенность населения услугами дошкольного образования для детей в возрасте от 3 до 7 лет составляет 100%. Дошкольные </w:t>
      </w:r>
      <w:r>
        <w:rPr>
          <w:lang w:val="en-US"/>
        </w:rPr>
        <w:lastRenderedPageBreak/>
        <w:t xml:space="preserve">образовательные учреждения посещают 269 детей. Родительская плата за присмотр и уход детей составляет 1 600 рублей в месяц. Компенсацию части родительской платы в размере 20% получают 6 семей, в размере 50% – 37 семей, в размере 70% – 28 семей. В Курьинском районе предусмотрена стопроцентная компенсация для детей, находящихся под опекой и детей-инвалидов.       2. Доля детей, охваченных дополнительными общеобразовательными программами, в общей численности детей и молодежи в возрасте от 5 до 18 лет составляет 59,3 %, что соответствует целевому показателю Алтайского края.       Охват детей и подростков от 6,5 до 18 лет общим образованием в Курьинском районе составляет 100%. Всего в школах района обучается 1027 учащихся. Доступности обучения способствует подвоз учащихся к месту обучения по 13 школьным маршрутам. В рамках программы по обновлению парка школьных автобусов в 2021 году получены 2 новых школьных автобуса (ПАЗ в Межшкольный учебный комбинат и Газель в Трусовскую среднюю школу).      В школах района обучающиеся 1-4 классов получают бесплатное горячее питание, на эти цели из средств федерального бюджета выделено 3, 96 млн. рублей. Бесплатное питание в школе получают и обучающиеся с ограниченными возможностями здоровья, финансируется это из краевого бюджета. В 2021 году сумма краевых средств составила 638, 5 тыс. рублей. Дети из многодетных, опекаемых семей, семей, находящихся в социально опасном положении, получают компенсацию за счет средств муниципального бюджета. В 2021 году эта сумма составила около 80 тыс. рублей. Всего горячим питанием в общеобразовательных организациях района охвачено 1009 обучающихся, что составляет 98%.Для укрепления материально-технической базы образовательных организаций в рамках национального проекта «Образование» в Курьинский район в 2021 году поставлено оборудования на общую сумму 4, 3 млн. рублей. Оборудование предназначено для организации работы школьных пищеблоков (водонагреватель, мясорубка, котел варочный, пароконвектомат, плита 4-х конфорочная (2 шт.), шкаф расстоячный), для организации учебного процесса (многофункциональное устройство, лабораторное оборудование для проведения основного государственного экзамена по физике и по химии, компьютерное оборудование для проведения единого государственного экзамена по информатике, бумага для проведения Всероссийских проверочных работ).В рамках реализации регионального проекта «Современная школа» национального проекта «Образование» для укрепления материально-технической базы центра образования естественно-научной и технологической направленностей «Точка Роста», открытого на базе Колыванской средней школы, в 2021 году поставлено оборудование на сумму 510 тыс. рублей за счет средств краевого бюджета и 27,8 тыс. рублей за счет средств муниципального бюджета.         В рамках эксперимента по модернизации общего образования регионального проекта «Цифровая образовательная среда» национального проекта «Образование» в Курьинскую среднюю школу поставлено оборудование (камеры, сервер, телевизоры, многофункциональное устройство) на общую сумму 2, 17 млн. рублей.    В целях обеспечения безопасных условий функционирования образовательных организаций района в условиях распространения новой коронавирусной инфекции COVID-19 из средств местного бюджета приобретены маски, перчатки, антисептические средства на сумму 78 тыс. рублей.       На подготовку образовательных организаций к новому учебному году, на проведение текущих ремонтов зданий в 2021 году из муниципального бюджета выделено 298 тыс. </w:t>
      </w:r>
      <w:r>
        <w:rPr>
          <w:lang w:val="en-US"/>
        </w:rPr>
        <w:lastRenderedPageBreak/>
        <w:t xml:space="preserve">рублей.              В целях антитеррористической безопасности все образовательные организации района оборудованы системами оповещения и управления эвакуацией обучающихся и иных лиц, находящихся на объекте, дооснащены системами наружного освещения. Учреждения третьей категории опасности оснащены ручными металлоискателями, на первом этаже этих организаций оборудованы помещения для охраны с установкой в них систем видеонаблюдения, охранной сигнализации и средств передачи тревожных сообщений в подразделения войск национальной гвардии Российской Федерации. На эти цели израсходовано 1, 8 млн. рублей, это средства краевого и муниципального бюджетов. Здравоохранение. Основная цель развития отрасли здравоохранения- повышение качества и доступности оказания медицинской помощи населению. Предоставление качественной медицинской помощи - это первоочередная задача каждого медицинского работника. В 2021 году в нашем районе работали  23 врача и 62 работника среднего медицинского персонала. К врачам всех специальностей за 2021 было 59607 посещений. В 2021  году проводилась дополнительная диспансеризация определенных групп взрослого населения, углубленная диспансеризация,  профилактические медицинские осмотры и медицинские осмотры проф.вредников.В условиях пандемии  за 2021 г диспансеризацию взрослого населения прошли 887 человек, что составляет 38,4% от плана. Углубленная диспансеризация выполнена на 100% от заявленного плана.  С применением мобильных врачебных бригад на ФАПах района осмотрено 566 человек. Благодаря совместной работе медиков  ФАПов и выездных врачебных бригад ЦРБ  активно проводилась диспансеризация определенных групп  взрослого населения на местах. В результате активно провели прием населения терапевты, невролог, педиатры, хирург,  лаборанты.  Благодаря этой работе были осмотрены также  пациенты, которые в силу своего здоровья и возраста не могут передвигаться.       В 2021 году закончился капитальный ремонта здания детской поликлиники  (общая сумма 9, 2 млн. руб.), а также в 2021 уже была закуплена новая медицинская мебель и оборудование. После капитального ремонта флюорокабинета в ЦРБ поступил новый флюорограф   «Униоптима-флюоро», стоимостью 7, 5 млн. руб. (стоимость ремонта составила более 1, 5 млн. руб.). Проведен капитальный ремонт гаража, где находится техника ЦРБ. (общая стоимость 56,9 тыс. руб.)Культура. Сеть учреждений культуры района на 01 января 2022 года представляет собой следующие учреждения культуры: МБУК «Курьинский многофункциональный культурный центр» Курьинского района Алтайского края, структурными подразделениями, которой  являются 12 сельских домов культуры и клубов, «Межпоселенческая центральная районная библиотека» - (11 сельских библиотек), «Курьинский краеведческий музей», МБУК «Колыванский музей истории камнерезного дела на Алтае» Курьинского района Алтайского края, МБУ ДО «Курьинская детская школа искусств» Курьинского района Алтайского края.         В 2021 году была завершена работа по капитальному ремонту и реконструкции здания Курьинского краеведческого музея.  Внутренняя отделка, выставочная, экспозиционная  мебель и оборудование, система отопления, электрика, интернет, установка ОПС проведены за счёт средств местного бюджета на сумму 1 млн. 500 тыс. рублей. Музеем успешно реализован грант Губернатора Алтайского края в области культуры «От демидовских времён до наших дней» (400 тыс. рублей). Проведён ряд выездных музейных экспозиций по данной теме в сёла района. В настоящее время в музее оформляются собственные экспозиции, разрабатываются экскурсии для </w:t>
      </w:r>
      <w:r>
        <w:rPr>
          <w:lang w:val="en-US"/>
        </w:rPr>
        <w:lastRenderedPageBreak/>
        <w:t xml:space="preserve">посетителей.          Клубными учреждениями проведено 630 мероприятий. Творческие коллективы района с успехом представили свои достижения в рамках Марафона дней культуры «Соседи» в Троицком районе. Народный театр Курьинского районного Дворца культуры и искусств подтвердил звание «Народный самодеятельный коллектив Алтайского края». Дипломом Лауреата награждён ВИА «Стимул» Курьинского районного Дворца культуры и искусств,  участник краевого фестиваля эстрадных и джазовых коллективов «Под звёздным небом Колывани», который состоялся в Курьинском районе в мае 2021 года.4 коллектива носят звание «Народный самодеятельный коллектив Алтайского края». Работало 89 клубных формирований, в которых занято 695 человек.           Услугами библиотек в 2021 году пользовались 5200 жителей района. Библиотеками района также проведено  225 различных тематических мероприятий. Количество посещений музеев  составило 18155 человек. Библиотек – 107 66 человек. Это в целом на 10 000 посещений больше чем в прошлом году, что свидетельствует о том, что услуги учреждений востребованы, несмотря на различные ограничения.           Детская школа искусств осуществляла дополнительное образование детей, по программам общеэстетической направленности, дополнительным общеобразовательным предпрофессиональным программам, дополнительным общеразвивающим программам. Работали шесть отделений: художественное, хореографическое, духовых инструментов, народных инструментов, хорового пения, фортепиано. Всего в ДШИ обучается 175 обучающихся. Это на 32 человека  больше, чем в прошлом году. Охват детей удалось увеличить благодаря дополнительному финансированию из районного бюджета увеличения объема учебных часов дополнительных общеразвивающих и предпрофессиональных общеобразовательных  программ.         За счёт средств районного бюджета, собственных средств учреждений пополнялся библиотечный фонд, приобретались сценические костюмы, оборудование.      Учащиеся и педагоги Курьинской ДШИ успешно приняли участие в 39 различных традиционных, очных и заочных региональных, всероссийских и международных, фестивалях и конкурсах. Это Всероссийский конкурсный и фестивальный проект «Ступени мастерства» (Новосибирск), Международный фестиваль исполнения на русских народных инструментах Русско-Французская культура, Международный конкурс-фестиваль «Общее фортепиано» (Красноярск), VI Межрегиональный конкурс молодых исполнителей на классической гитаре им. Ю.А. Зырянова, V Международный открытый вокальный конкурс-фестиваль Сибирских детских коллективов «Хрустальные голоса» и других. Участие отмечено 138 – ю дипломами различных степеней, среди которых большинство дипломов 1 – ой степени и дипломы лауреатов.                                               Молодежная политика.По данным статистики на 01.01.2021г. в районе проживает  1505 человек молодежи в возрасте от 14 до 35 лет (в сравнении с 2020 годом – 1566 человек).Реализация государственной молодежной политики на территории Курьинского района осуществляется в соответствии с муниципальными программами: «Молодежь Курьинского района», «Патриотическое воспитание граждан в Курьинском районе», «Обеспечение жильём молодых семей в Курьинском районе», «Развитие  физической  культуры и спорта в Курьинском районе».В 2021 году 1 семья получила субсидию и улучшила жилищные условия. На эти цели было выделено 396,9  тыс.рублей, из них: местный бюджет – 70,9 тыс.руб., остальные средства привлечены из краевого и федерального бюджета.Для детей и молодежи работает 6 военно-патриотических клубов, в которых занимается 65 </w:t>
      </w:r>
      <w:r>
        <w:rPr>
          <w:lang w:val="en-US"/>
        </w:rPr>
        <w:lastRenderedPageBreak/>
        <w:t xml:space="preserve">человек. Курсанты военно-патриотических клубов являются неотъемлемой частью всех районных патриотических мероприятий, несут вахту памяти в почетном карауле на мемориалах воинской славы.В рамках проведения Дня призывника организуются и проводятся торжественные  мероприятия для призывников и их родителей.  Большая работа в районе проведена в рамках празднования 76-летия Победы в Великой Отечественной войне. С участием молодежи проведены  патриотические акции «Георгиевская лента», «Свеча памяти», «Вахта памяти», «Я рисую Победу», «Солдатская каша».Ежегодно проводятся военно-полевые сборы с учениками школ и курсантами ВПК, где они демонстрируют свои лучшие физические и морально-волевые качества.  Второй год подряд проводится патриотическая акция «Волна памяти», где силами волонтеров и работающей молодежи ведется благоустройство могил ветеранов Великой Отечественной войны. Благоустроены 17 могил.Активно ведется работа по социально-общественной деятельности и развитию добровольчества среди молодежи. Так в районе действуют два  молодежных добровольческих объединения «Волонтеры Победы» (на базе Отдела по культуре и делам молодежи) и клуб «Ровесник» (на базе Детского дома творчества).  Количество молодежи, регулярно принимающих участие в добровольческой деятельности – 38 человек, выданных волонтерских книжек в 2021 году вновь вступившим в ряды волонтеров – 12 шт. Для развития творческих данных детей и молодежи регулярно проводятся районные творческие конкурсы по направлениям: живопись, декоративно-прикладное и музыкальное искусство. В целях оказания поддержки талантливой молодежи ежегодно проводится вручение премий главы Администрации района учащимся, добившимся особых успехов в учёбе, спорте, науке, творчестве, общественной жизни.Премии главы района были вручены 5 учащимся школ и 1 подростковой организации.Для реализации всех запланированных молодежных мероприятий постоянно ведется работа по направлению грантовой политики и привлечения дополнительных денежных средств в район. Так за 2021 год на проведение  творческих, культурно-досуговых и спортивных молодежных  мероприятий  был выигран грант на сумму 300 тыс.рублей.Сумма средств районного бюджета направленная в 2021 году на развитие молодежной политики составила – 137,7 тыс.рублей.Спорт.  В 2021 году в соответствии с муниципальной программой «Развитие физической культуры спорта в Курьинском районе» было выделено из районного бюджета 3224,8 тыс. рублей, в том числе на развитие физической культуры и спорта в районе 303 тыс. рублей.Из краевого бюджета была выделена субсидия 54,8 тыс.руб. на приобретение новой спортивной формы и спортивного инвентаря для спортсменов района.В рамках краевого конкурса на «Лучшую спортивную работу в сельском поселении» Казенцевский сельский совет получил новое спортивное оборудование на сумму 73 тыс.руб.В отчетном году 1500 спортсменов района приняли участие в 41 спортивно-массовом мероприятии. Из них: 34 районных спортивных мероприятия, 15 межрайонных (волейбол, футбол, самбо)  и  8 краевых мероприятий.В апреле 2021 в с.Курья проведён муниципальный этап фестиваля Всеросийского Физкультурно-спортивного комплекса «Готов к труду и обороне», в котором приняло участие 75 учащихся района. Приняты тесты ВФСК «ГТО», 48 учащимся  присвоены знаки ГТО, из них 20 золотых знаков.В районе работает ДЮСШ, в которой занимается 180 учащийся района. Действуют 4 отделения: волейбол, футбол,  настольный теннис, самбо.В зимний период на территории спортивного стадиона ежегодно проводится заливка катка и ведется прокат коньков и </w:t>
      </w:r>
      <w:r>
        <w:rPr>
          <w:lang w:val="en-US"/>
        </w:rPr>
        <w:lastRenderedPageBreak/>
        <w:t>лыж. Осенью был проведен косметический ремонт хоккейной коробки.Администрацией Курьинского района разработана необходимая проектно-сметная документация на капитальный ремонт  стадиона «Старт». Предполагаемая стоимость указанного ремонта составит порядка 40 млн.руб.Туризм. В районе реализуется муниципальная программа «Развитие туризма в Курьинском районе» на 2021-2025 годы. Целью программы является - создание благоприятных условий для устойчивого развития туризма на территории Курьинского района.В районе наблюдается рост количества коллективных средств размещения туристов (КСР). За 2021 год фактическое количество КСР выросло на 3 ед. и составило 25 КСР с единовременной вместимостью 872 человека. Рост произошел в связи с открытием 1 гостевого дома и 2-х баз отдыха.Туризм в районе является сезонным. Основной поток туристов происходит в летний период туристическими базами на оз.Белое. Несмотря на сезонность в районе отмечается рост количества туристов посетивших наш район. По итогам года он составил 53,7 тыс. туристов. В сравнении с предыдущим годом – 26 тыс. туристов.Объем предоставленных платных услуг по оценочным данным в туристско-рекреационной сфере в Курьинском районе  составил  107,7 млн.руб.Администрацией района ведется работа по созданию привлекательного образа Курьинского района для развития сферы туризма. Таким образом количество привлеченных внебюджетных инвестиций на развитие инфраструктуры  туризма района составило за год 6700 тыс.руб. </w:t>
      </w:r>
    </w:p>
    <w:p w:rsidR="0074511A" w:rsidRDefault="0074511A">
      <w:pPr>
        <w:spacing w:after="240" w:line="276" w:lineRule="auto"/>
        <w:divId w:val="1537622445"/>
      </w:pPr>
      <w:r>
        <w:br/>
      </w:r>
      <w:r>
        <w:br/>
      </w:r>
    </w:p>
    <w:tbl>
      <w:tblPr>
        <w:tblW w:w="0" w:type="auto"/>
        <w:jc w:val="right"/>
        <w:tblCellSpacing w:w="15" w:type="dxa"/>
        <w:tblCellMar>
          <w:top w:w="15" w:type="dxa"/>
          <w:left w:w="15" w:type="dxa"/>
          <w:bottom w:w="15" w:type="dxa"/>
          <w:right w:w="15" w:type="dxa"/>
        </w:tblCellMar>
        <w:tblLook w:val="04A0"/>
      </w:tblPr>
      <w:tblGrid>
        <w:gridCol w:w="758"/>
        <w:gridCol w:w="1260"/>
        <w:gridCol w:w="3546"/>
      </w:tblGrid>
      <w:tr w:rsidR="0074511A" w:rsidTr="008E0719">
        <w:trPr>
          <w:divId w:val="1191646061"/>
          <w:tblCellSpacing w:w="15" w:type="dxa"/>
          <w:jc w:val="right"/>
        </w:trPr>
        <w:tc>
          <w:tcPr>
            <w:tcW w:w="0" w:type="auto"/>
            <w:vAlign w:val="center"/>
            <w:hideMark/>
          </w:tcPr>
          <w:p w:rsidR="0074511A" w:rsidRPr="001F1010" w:rsidRDefault="001F1010" w:rsidP="008E0719">
            <w:pPr>
              <w:spacing w:line="276" w:lineRule="auto"/>
              <w:jc w:val="right"/>
              <w:rPr>
                <w:sz w:val="28"/>
                <w:szCs w:val="28"/>
                <w:lang w:val="en-US"/>
              </w:rPr>
            </w:pPr>
            <w:r>
              <w:rPr>
                <w:sz w:val="28"/>
                <w:szCs w:val="28"/>
                <w:lang w:val="en-US"/>
              </w:rPr>
              <w:t>Глава</w:t>
            </w:r>
          </w:p>
        </w:tc>
        <w:tc>
          <w:tcPr>
            <w:tcW w:w="0" w:type="auto"/>
            <w:vAlign w:val="bottom"/>
            <w:hideMark/>
          </w:tcPr>
          <w:p w:rsidR="0074511A" w:rsidRDefault="0074511A">
            <w:r>
              <w:t>__________</w:t>
            </w:r>
          </w:p>
        </w:tc>
        <w:tc>
          <w:tcPr>
            <w:tcW w:w="0" w:type="auto"/>
            <w:vAlign w:val="bottom"/>
            <w:hideMark/>
          </w:tcPr>
          <w:p w:rsidR="0074511A" w:rsidRPr="001F1010" w:rsidRDefault="001F1010">
            <w:pPr>
              <w:spacing w:line="276" w:lineRule="auto"/>
              <w:rPr>
                <w:sz w:val="28"/>
                <w:szCs w:val="28"/>
                <w:lang w:val="en-US"/>
              </w:rPr>
            </w:pPr>
            <w:r>
              <w:rPr>
                <w:sz w:val="28"/>
                <w:szCs w:val="28"/>
                <w:lang w:val="en-US"/>
              </w:rPr>
              <w:t>Купин Алексей Анатольевич</w:t>
            </w:r>
          </w:p>
        </w:tc>
      </w:tr>
      <w:tr w:rsidR="0074511A" w:rsidTr="008E0719">
        <w:trPr>
          <w:divId w:val="1191646061"/>
          <w:tblCellSpacing w:w="15" w:type="dxa"/>
          <w:jc w:val="right"/>
        </w:trPr>
        <w:tc>
          <w:tcPr>
            <w:tcW w:w="0" w:type="auto"/>
            <w:vAlign w:val="center"/>
            <w:hideMark/>
          </w:tcPr>
          <w:p w:rsidR="0074511A" w:rsidRDefault="0074511A">
            <w:r>
              <w:t> </w:t>
            </w:r>
          </w:p>
        </w:tc>
        <w:tc>
          <w:tcPr>
            <w:tcW w:w="0" w:type="auto"/>
            <w:hideMark/>
          </w:tcPr>
          <w:p w:rsidR="0074511A" w:rsidRDefault="0074511A">
            <w:r>
              <w:t>(подпись)</w:t>
            </w:r>
          </w:p>
        </w:tc>
        <w:tc>
          <w:tcPr>
            <w:tcW w:w="0" w:type="auto"/>
            <w:vAlign w:val="center"/>
            <w:hideMark/>
          </w:tcPr>
          <w:p w:rsidR="0074511A" w:rsidRDefault="0074511A">
            <w:r>
              <w:t> </w:t>
            </w:r>
          </w:p>
        </w:tc>
      </w:tr>
    </w:tbl>
    <w:tbl>
      <w:tblPr>
        <w:tblW w:w="0" w:type="auto"/>
        <w:tblCellSpacing w:w="15" w:type="dxa"/>
        <w:tblCellMar>
          <w:top w:w="15" w:type="dxa"/>
          <w:left w:w="15" w:type="dxa"/>
          <w:bottom w:w="15" w:type="dxa"/>
          <w:right w:w="15" w:type="dxa"/>
        </w:tblCellMar>
        <w:tblLook w:val="04A0"/>
      </w:tblPr>
      <w:tblGrid>
        <w:gridCol w:w="5595"/>
        <w:gridCol w:w="81"/>
      </w:tblGrid>
      <w:tr w:rsidR="0074511A">
        <w:trPr>
          <w:divId w:val="1537622445"/>
          <w:tblCellSpacing w:w="15" w:type="dxa"/>
        </w:trPr>
        <w:tc>
          <w:tcPr>
            <w:tcW w:w="5550" w:type="dxa"/>
            <w:vAlign w:val="center"/>
            <w:hideMark/>
          </w:tcPr>
          <w:p w:rsidR="0074511A" w:rsidRDefault="0074511A">
            <w:r>
              <w:t> </w:t>
            </w:r>
          </w:p>
        </w:tc>
        <w:tc>
          <w:tcPr>
            <w:tcW w:w="0" w:type="auto"/>
            <w:vAlign w:val="center"/>
            <w:hideMark/>
          </w:tcPr>
          <w:p w:rsidR="0074511A" w:rsidRDefault="0074511A"/>
        </w:tc>
      </w:tr>
    </w:tbl>
    <w:p w:rsidR="0074511A" w:rsidRDefault="0074511A">
      <w:pPr>
        <w:divId w:val="1537622445"/>
      </w:pPr>
    </w:p>
    <w:sectPr w:rsidR="0074511A" w:rsidSect="00D4714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7031" w:rsidRDefault="00727031" w:rsidP="00D47142">
      <w:r>
        <w:separator/>
      </w:r>
    </w:p>
  </w:endnote>
  <w:endnote w:type="continuationSeparator" w:id="1">
    <w:p w:rsidR="00727031" w:rsidRDefault="00727031" w:rsidP="00D47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CD304E" w:rsidP="00D47142">
    <w:pPr>
      <w:pStyle w:val="a6"/>
      <w:jc w:val="right"/>
    </w:pPr>
    <w:r>
      <w:fldChar w:fldCharType="begin"/>
    </w:r>
    <w:r w:rsidR="00D47142">
      <w:instrText xml:space="preserve"> PAGE  \* MERGEFORMAT </w:instrText>
    </w:r>
    <w:r>
      <w:fldChar w:fldCharType="separate"/>
    </w:r>
    <w:r w:rsidR="009750F7">
      <w:rPr>
        <w:noProof/>
      </w:rPr>
      <w:t>10</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7031" w:rsidRDefault="00727031" w:rsidP="00D47142">
      <w:r>
        <w:separator/>
      </w:r>
    </w:p>
  </w:footnote>
  <w:footnote w:type="continuationSeparator" w:id="1">
    <w:p w:rsidR="00727031" w:rsidRDefault="00727031" w:rsidP="00D47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D47142"/>
    <w:rsid w:val="000D3D3D"/>
    <w:rsid w:val="0015389F"/>
    <w:rsid w:val="001F1010"/>
    <w:rsid w:val="00467A05"/>
    <w:rsid w:val="005A1D93"/>
    <w:rsid w:val="00705BA6"/>
    <w:rsid w:val="00727031"/>
    <w:rsid w:val="0074511A"/>
    <w:rsid w:val="008E0719"/>
    <w:rsid w:val="00954C8F"/>
    <w:rsid w:val="009750F7"/>
    <w:rsid w:val="00C97D56"/>
    <w:rsid w:val="00CD304E"/>
    <w:rsid w:val="00D471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04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unhideWhenUsed/>
    <w:rsid w:val="00CD304E"/>
    <w:pPr>
      <w:spacing w:before="100" w:beforeAutospacing="1" w:after="100" w:afterAutospacing="1"/>
    </w:pPr>
  </w:style>
  <w:style w:type="character" w:styleId="a3">
    <w:name w:val="Strong"/>
    <w:basedOn w:val="a0"/>
    <w:uiPriority w:val="22"/>
    <w:qFormat/>
    <w:rsid w:val="00CD304E"/>
    <w:rPr>
      <w:b/>
      <w:bCs/>
    </w:rPr>
  </w:style>
  <w:style w:type="paragraph" w:styleId="a4">
    <w:name w:val="header"/>
    <w:basedOn w:val="a"/>
    <w:link w:val="a5"/>
    <w:uiPriority w:val="99"/>
    <w:semiHidden/>
    <w:unhideWhenUsed/>
    <w:rsid w:val="00D47142"/>
    <w:pPr>
      <w:tabs>
        <w:tab w:val="center" w:pos="4677"/>
        <w:tab w:val="right" w:pos="9355"/>
      </w:tabs>
    </w:pPr>
  </w:style>
  <w:style w:type="character" w:customStyle="1" w:styleId="a5">
    <w:name w:val="Верхний колонтитул Знак"/>
    <w:basedOn w:val="a0"/>
    <w:link w:val="a4"/>
    <w:uiPriority w:val="99"/>
    <w:semiHidden/>
    <w:rsid w:val="00D47142"/>
    <w:rPr>
      <w:rFonts w:eastAsia="Times New Roman"/>
      <w:sz w:val="24"/>
      <w:szCs w:val="24"/>
    </w:rPr>
  </w:style>
  <w:style w:type="paragraph" w:styleId="a6">
    <w:name w:val="footer"/>
    <w:basedOn w:val="a"/>
    <w:link w:val="a7"/>
    <w:uiPriority w:val="99"/>
    <w:semiHidden/>
    <w:unhideWhenUsed/>
    <w:rsid w:val="00D47142"/>
    <w:pPr>
      <w:tabs>
        <w:tab w:val="center" w:pos="4677"/>
        <w:tab w:val="right" w:pos="9355"/>
      </w:tabs>
    </w:pPr>
  </w:style>
  <w:style w:type="character" w:customStyle="1" w:styleId="a7">
    <w:name w:val="Нижний колонтитул Знак"/>
    <w:basedOn w:val="a0"/>
    <w:link w:val="a6"/>
    <w:uiPriority w:val="99"/>
    <w:semiHidden/>
    <w:rsid w:val="00D47142"/>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537622445">
      <w:marLeft w:val="0"/>
      <w:marRight w:val="0"/>
      <w:marTop w:val="0"/>
      <w:marBottom w:val="0"/>
      <w:divBdr>
        <w:top w:val="none" w:sz="0" w:space="0" w:color="auto"/>
        <w:left w:val="none" w:sz="0" w:space="0" w:color="auto"/>
        <w:bottom w:val="none" w:sz="0" w:space="0" w:color="auto"/>
        <w:right w:val="none" w:sz="0" w:space="0" w:color="auto"/>
      </w:divBdr>
      <w:divsChild>
        <w:div w:id="223301121">
          <w:marLeft w:val="300"/>
          <w:marRight w:val="0"/>
          <w:marTop w:val="0"/>
          <w:marBottom w:val="0"/>
          <w:divBdr>
            <w:top w:val="none" w:sz="0" w:space="0" w:color="auto"/>
            <w:left w:val="none" w:sz="0" w:space="0" w:color="auto"/>
            <w:bottom w:val="none" w:sz="0" w:space="0" w:color="auto"/>
            <w:right w:val="none" w:sz="0" w:space="0" w:color="auto"/>
          </w:divBdr>
        </w:div>
        <w:div w:id="1450320109">
          <w:marLeft w:val="300"/>
          <w:marRight w:val="0"/>
          <w:marTop w:val="0"/>
          <w:marBottom w:val="0"/>
          <w:divBdr>
            <w:top w:val="none" w:sz="0" w:space="0" w:color="auto"/>
            <w:left w:val="none" w:sz="0" w:space="0" w:color="auto"/>
            <w:bottom w:val="none" w:sz="0" w:space="0" w:color="auto"/>
            <w:right w:val="none" w:sz="0" w:space="0" w:color="auto"/>
          </w:divBdr>
        </w:div>
        <w:div w:id="1006633197">
          <w:marLeft w:val="300"/>
          <w:marRight w:val="0"/>
          <w:marTop w:val="0"/>
          <w:marBottom w:val="0"/>
          <w:divBdr>
            <w:top w:val="none" w:sz="0" w:space="0" w:color="auto"/>
            <w:left w:val="none" w:sz="0" w:space="0" w:color="auto"/>
            <w:bottom w:val="none" w:sz="0" w:space="0" w:color="auto"/>
            <w:right w:val="none" w:sz="0" w:space="0" w:color="auto"/>
          </w:divBdr>
        </w:div>
        <w:div w:id="672149918">
          <w:marLeft w:val="300"/>
          <w:marRight w:val="0"/>
          <w:marTop w:val="0"/>
          <w:marBottom w:val="0"/>
          <w:divBdr>
            <w:top w:val="none" w:sz="0" w:space="0" w:color="auto"/>
            <w:left w:val="none" w:sz="0" w:space="0" w:color="auto"/>
            <w:bottom w:val="none" w:sz="0" w:space="0" w:color="auto"/>
            <w:right w:val="none" w:sz="0" w:space="0" w:color="auto"/>
          </w:divBdr>
        </w:div>
        <w:div w:id="1356543834">
          <w:marLeft w:val="300"/>
          <w:marRight w:val="0"/>
          <w:marTop w:val="0"/>
          <w:marBottom w:val="0"/>
          <w:divBdr>
            <w:top w:val="none" w:sz="0" w:space="0" w:color="auto"/>
            <w:left w:val="none" w:sz="0" w:space="0" w:color="auto"/>
            <w:bottom w:val="none" w:sz="0" w:space="0" w:color="auto"/>
            <w:right w:val="none" w:sz="0" w:space="0" w:color="auto"/>
          </w:divBdr>
        </w:div>
        <w:div w:id="1611469857">
          <w:marLeft w:val="300"/>
          <w:marRight w:val="0"/>
          <w:marTop w:val="0"/>
          <w:marBottom w:val="0"/>
          <w:divBdr>
            <w:top w:val="none" w:sz="0" w:space="0" w:color="auto"/>
            <w:left w:val="none" w:sz="0" w:space="0" w:color="auto"/>
            <w:bottom w:val="none" w:sz="0" w:space="0" w:color="auto"/>
            <w:right w:val="none" w:sz="0" w:space="0" w:color="auto"/>
          </w:divBdr>
        </w:div>
        <w:div w:id="1437944105">
          <w:marLeft w:val="300"/>
          <w:marRight w:val="0"/>
          <w:marTop w:val="0"/>
          <w:marBottom w:val="0"/>
          <w:divBdr>
            <w:top w:val="none" w:sz="0" w:space="0" w:color="auto"/>
            <w:left w:val="none" w:sz="0" w:space="0" w:color="auto"/>
            <w:bottom w:val="none" w:sz="0" w:space="0" w:color="auto"/>
            <w:right w:val="none" w:sz="0" w:space="0" w:color="auto"/>
          </w:divBdr>
        </w:div>
        <w:div w:id="1904366202">
          <w:marLeft w:val="300"/>
          <w:marRight w:val="0"/>
          <w:marTop w:val="0"/>
          <w:marBottom w:val="0"/>
          <w:divBdr>
            <w:top w:val="none" w:sz="0" w:space="0" w:color="auto"/>
            <w:left w:val="none" w:sz="0" w:space="0" w:color="auto"/>
            <w:bottom w:val="none" w:sz="0" w:space="0" w:color="auto"/>
            <w:right w:val="none" w:sz="0" w:space="0" w:color="auto"/>
          </w:divBdr>
        </w:div>
        <w:div w:id="1972859180">
          <w:marLeft w:val="300"/>
          <w:marRight w:val="0"/>
          <w:marTop w:val="0"/>
          <w:marBottom w:val="0"/>
          <w:divBdr>
            <w:top w:val="none" w:sz="0" w:space="0" w:color="auto"/>
            <w:left w:val="none" w:sz="0" w:space="0" w:color="auto"/>
            <w:bottom w:val="none" w:sz="0" w:space="0" w:color="auto"/>
            <w:right w:val="none" w:sz="0" w:space="0" w:color="auto"/>
          </w:divBdr>
        </w:div>
        <w:div w:id="119164606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4644</Words>
  <Characters>26477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GUEI</Company>
  <LinksUpToDate>false</LinksUpToDate>
  <CharactersWithSpaces>31059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webadmin</dc:creator>
  <cp:lastModifiedBy>Экономист</cp:lastModifiedBy>
  <cp:revision>2</cp:revision>
  <dcterms:created xsi:type="dcterms:W3CDTF">2022-04-26T03:23:00Z</dcterms:created>
  <dcterms:modified xsi:type="dcterms:W3CDTF">2022-04-26T03:23:00Z</dcterms:modified>
</cp:coreProperties>
</file>