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F7" w:rsidRPr="00984FF7" w:rsidRDefault="00984FF7" w:rsidP="00984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FF7">
        <w:rPr>
          <w:rFonts w:ascii="Verdana" w:eastAsia="Times New Roman" w:hAnsi="Verdana" w:cs="Times New Roman"/>
          <w:color w:val="464646"/>
          <w:sz w:val="54"/>
          <w:szCs w:val="54"/>
          <w:lang w:eastAsia="ru-RU"/>
        </w:rPr>
        <w:fldChar w:fldCharType="begin"/>
      </w:r>
      <w:r w:rsidRPr="00984FF7">
        <w:rPr>
          <w:rFonts w:ascii="Verdana" w:eastAsia="Times New Roman" w:hAnsi="Verdana" w:cs="Times New Roman"/>
          <w:color w:val="464646"/>
          <w:sz w:val="54"/>
          <w:szCs w:val="54"/>
          <w:lang w:eastAsia="ru-RU"/>
        </w:rPr>
        <w:instrText xml:space="preserve"> HYPERLINK "" </w:instrText>
      </w:r>
      <w:r w:rsidRPr="00984FF7">
        <w:rPr>
          <w:rFonts w:ascii="Verdana" w:eastAsia="Times New Roman" w:hAnsi="Verdana" w:cs="Times New Roman"/>
          <w:color w:val="464646"/>
          <w:sz w:val="54"/>
          <w:szCs w:val="54"/>
          <w:lang w:eastAsia="ru-RU"/>
        </w:rPr>
        <w:fldChar w:fldCharType="separate"/>
      </w:r>
      <w:r w:rsidRPr="00984FF7">
        <w:rPr>
          <w:rFonts w:ascii="Verdana" w:eastAsia="Times New Roman" w:hAnsi="Verdana" w:cs="Times New Roman"/>
          <w:color w:val="0000FF"/>
          <w:sz w:val="54"/>
          <w:u w:val="single"/>
          <w:lang w:eastAsia="ru-RU"/>
        </w:rPr>
        <w:t xml:space="preserve">Условия предоставления </w:t>
      </w:r>
      <w:proofErr w:type="spellStart"/>
      <w:r w:rsidRPr="00984FF7">
        <w:rPr>
          <w:rFonts w:ascii="Verdana" w:eastAsia="Times New Roman" w:hAnsi="Verdana" w:cs="Times New Roman"/>
          <w:color w:val="0000FF"/>
          <w:sz w:val="54"/>
          <w:u w:val="single"/>
          <w:lang w:eastAsia="ru-RU"/>
        </w:rPr>
        <w:t>микрозаймов</w:t>
      </w:r>
      <w:proofErr w:type="spellEnd"/>
      <w:r w:rsidRPr="00984FF7">
        <w:rPr>
          <w:rFonts w:ascii="Verdana" w:eastAsia="Times New Roman" w:hAnsi="Verdana" w:cs="Times New Roman"/>
          <w:color w:val="464646"/>
          <w:sz w:val="54"/>
          <w:szCs w:val="54"/>
          <w:lang w:eastAsia="ru-RU"/>
        </w:rPr>
        <w:fldChar w:fldCharType="end"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6"/>
        <w:gridCol w:w="6199"/>
      </w:tblGrid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Verdana" w:eastAsia="Times New Roman" w:hAnsi="Verdana" w:cs="Times New Roman"/>
                <w:b/>
                <w:bCs/>
                <w:color w:val="464646"/>
                <w:sz w:val="18"/>
                <w:szCs w:val="18"/>
                <w:lang w:eastAsia="ru-RU"/>
              </w:rPr>
              <w:t>Процентная ставка по займу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Verdana" w:eastAsia="Times New Roman" w:hAnsi="Verdana" w:cs="Times New Roman"/>
                <w:b/>
                <w:bCs/>
                <w:color w:val="464646"/>
                <w:sz w:val="18"/>
                <w:szCs w:val="18"/>
                <w:lang w:eastAsia="ru-RU"/>
              </w:rPr>
              <w:t>6,25% годовых на срок до 12 месяцев,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Verdana" w:eastAsia="Times New Roman" w:hAnsi="Verdana" w:cs="Times New Roman"/>
                <w:b/>
                <w:bCs/>
                <w:color w:val="464646"/>
                <w:sz w:val="18"/>
                <w:szCs w:val="18"/>
                <w:lang w:eastAsia="ru-RU"/>
              </w:rPr>
              <w:t>7.75% годовых на срок свыше 12 месяцев,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984FF7">
                <w:rPr>
                  <w:rFonts w:ascii="Verdana" w:eastAsia="Times New Roman" w:hAnsi="Verdana" w:cs="Times New Roman"/>
                  <w:b/>
                  <w:bCs/>
                  <w:color w:val="0000FF"/>
                  <w:sz w:val="18"/>
                  <w:u w:val="single"/>
                  <w:lang w:eastAsia="ru-RU"/>
                </w:rPr>
                <w:t> </w:t>
              </w:r>
            </w:hyperlink>
            <w:hyperlink r:id="rId6" w:history="1">
              <w:r w:rsidRPr="00984FF7">
                <w:rPr>
                  <w:rFonts w:ascii="Verdana" w:eastAsia="Times New Roman" w:hAnsi="Verdana" w:cs="Times New Roman"/>
                  <w:b/>
                  <w:bCs/>
                  <w:color w:val="0000FF"/>
                  <w:sz w:val="18"/>
                  <w:u w:val="single"/>
                  <w:lang w:eastAsia="ru-RU"/>
                </w:rPr>
                <w:t>5%</w:t>
              </w:r>
            </w:hyperlink>
            <w:hyperlink r:id="rId7" w:history="1">
              <w:r w:rsidRPr="00984FF7">
                <w:rPr>
                  <w:rFonts w:ascii="Verdana" w:eastAsia="Times New Roman" w:hAnsi="Verdana" w:cs="Times New Roman"/>
                  <w:color w:val="0000FF"/>
                  <w:sz w:val="18"/>
                  <w:u w:val="single"/>
                  <w:lang w:eastAsia="ru-RU"/>
                </w:rPr>
                <w:t> </w:t>
              </w:r>
            </w:hyperlink>
            <w:hyperlink r:id="rId8" w:history="1">
              <w:r w:rsidRPr="00984FF7">
                <w:rPr>
                  <w:rFonts w:ascii="Verdana" w:eastAsia="Times New Roman" w:hAnsi="Verdana" w:cs="Times New Roman"/>
                  <w:b/>
                  <w:bCs/>
                  <w:color w:val="0000FF"/>
                  <w:sz w:val="18"/>
                  <w:u w:val="single"/>
                  <w:lang w:eastAsia="ru-RU"/>
                </w:rPr>
                <w:t>годовых для льготной категории займов</w:t>
              </w:r>
            </w:hyperlink>
            <w:r w:rsidRPr="00984FF7">
              <w:rPr>
                <w:rFonts w:ascii="Verdana" w:eastAsia="Times New Roman" w:hAnsi="Verdana" w:cs="Times New Roman"/>
                <w:b/>
                <w:bCs/>
                <w:color w:val="464646"/>
                <w:sz w:val="18"/>
                <w:szCs w:val="18"/>
                <w:lang w:eastAsia="ru-RU"/>
              </w:rPr>
              <w:t>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Verdana" w:eastAsia="Times New Roman" w:hAnsi="Verdana" w:cs="Times New Roman"/>
                <w:b/>
                <w:bCs/>
                <w:color w:val="464646"/>
                <w:sz w:val="18"/>
                <w:szCs w:val="18"/>
                <w:lang w:eastAsia="ru-RU"/>
              </w:rPr>
              <w:t>для субъектов, пострадавших в ЧС ставка 1% годовых.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Размер займа в российских рублях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До 3 000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000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рублей 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 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Срок займа (месяцев)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Займы на пополнение оборотных средств выдаются на срок до 18 месяцев,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займы на инвестиционные цели выдаются на срок до 36 месяцев.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Заемщик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Субъекты микро и малого предпринимательства, включая крестьянские (фермерские) хозяйства, сельскохозяйственные потребительские кооперативы, определенные в соответствии с федеральным законодательством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Цель займа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Пополнение оборотных средств</w:t>
            </w:r>
          </w:p>
          <w:p w:rsidR="00984FF7" w:rsidRPr="00984FF7" w:rsidRDefault="00984FF7" w:rsidP="00984FF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Малые инвестиции (покупка автотранспорта, оборудования, ремонт помещения и т.п.)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Обязательные условия предоставления займа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- соответствие критериям субъекта малого предпринимательства, определенным законодательством РФ - регистрация СМП в качестве налогоплательщика на территории Алтайского края;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- отсутствие просроченной задолженности по налоговым и иным обязательным платежам (в том числе по пени, штрафам, иным предусмотренным законодательством РФ санкциям) в бюджеты и внебюджетные фонды;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- в отношении потенциального Заемщика в течение двух лет (либо меньшего срока в зависимости от срока хозяйственной деятельности), предшествующих дате обращения за получением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микрозайма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Фонда, не применялись процедуры несостоятельности (банкротства;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-СМП не является кредитной и/или страховой организаций, страховым или кредитным кооперативом, лизинговой компанией,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факторинговой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компанией,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микрофинансовой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организацией, инвестиционным фондом, негосударственным пенсионным фондом, профессиональным участником рынка ценных бумаг, ломбардом или иной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некредитной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финансовой организацией, а также СМП, не осуществляет иную деятельность в сфере финансового посредничества в качестве основной;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- СМП не находится в процессе ликвидации;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- СМП не является участником соглашений о разделе продукции;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- СМП не осуществляет предпринимательскую деятельность в </w:t>
            </w: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lastRenderedPageBreak/>
              <w:t>сфере игорного бизнеса;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- СМП не является в порядке, установленном законодательством </w:t>
            </w:r>
            <w:proofErr w:type="spellStart"/>
            <w:proofErr w:type="gram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Рос-сийской</w:t>
            </w:r>
            <w:proofErr w:type="spellEnd"/>
            <w:proofErr w:type="gram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- отсутствие у СМП на дату обращения за получением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микрозайма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и за шесть месяцев, предшествующих дате обращения в Фонд просроченных обязательств по кредитным договорам, договорам займа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lastRenderedPageBreak/>
              <w:t>Залоговое обеспечение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До  500 000 рублей - возможно частичное обеспечение залоговым имуществом,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свыше 500 000 рублей – не менее чем 100% обеспечение залоговым имуществом.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Поручительство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Для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обеспечания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микрозаймов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может приниматься поручительство физических и юридических лиц. 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Срок рассмотрения заявки на предоставление займа с момента ее получения Специалистом фонда до рассмотрения на Экспертной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Максимум 10 (десять) дней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Дисконтный платеж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1,5% от суммы займа на срок до 12 месяцев;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0% на срок свыше 12 месяцев.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(для СМП пострадавших в ЧС дисконтный платеж не взимается)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   Приоритетные отрасли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обрабатывающее производство;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туризм и рекреационная деятельность;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бытовые услуги населению;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медицинское обслуживание населения;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частное дошкольное образование;</w:t>
            </w:r>
          </w:p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сельскохозяйственное производство.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Форма предоставления займа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Единоразовая</w:t>
            </w:r>
            <w:proofErr w:type="spell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выдача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Мониторинг целевого использования займа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В течени</w:t>
            </w:r>
            <w:proofErr w:type="gramStart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и</w:t>
            </w:r>
            <w:proofErr w:type="gramEnd"/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 xml:space="preserve"> 3-х месяцев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Погашение основного долга и уплата процентов по займу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Индивидуально с каждым заемщиком, исходя из финансового состояния, планируемых расходов и доходов и иных показателей деятельности Заемщиков.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Неустойка при просрочке ежемесячного платежа в погашение займа и уплату процентов по займу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0.5% в день от суммы просроченного взноса</w:t>
            </w:r>
          </w:p>
        </w:tc>
      </w:tr>
      <w:tr w:rsidR="00984FF7" w:rsidRPr="00984FF7" w:rsidTr="00984F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b/>
                <w:bCs/>
                <w:color w:val="464646"/>
                <w:sz w:val="18"/>
                <w:szCs w:val="18"/>
                <w:lang w:eastAsia="ru-RU"/>
              </w:rPr>
              <w:t>Комиссия за досрочное погашение займа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FF7" w:rsidRPr="00984FF7" w:rsidRDefault="00984FF7" w:rsidP="00984F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4FF7">
              <w:rPr>
                <w:rFonts w:ascii="Courier New" w:eastAsia="Times New Roman" w:hAnsi="Courier New" w:cs="Courier New"/>
                <w:color w:val="464646"/>
                <w:sz w:val="18"/>
                <w:szCs w:val="18"/>
                <w:lang w:eastAsia="ru-RU"/>
              </w:rPr>
              <w:t>НЕТ</w:t>
            </w:r>
          </w:p>
        </w:tc>
      </w:tr>
    </w:tbl>
    <w:p w:rsidR="00504416" w:rsidRDefault="00504416"/>
    <w:sectPr w:rsidR="00504416" w:rsidSect="00504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4688B"/>
    <w:multiLevelType w:val="multilevel"/>
    <w:tmpl w:val="5792E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4FF7"/>
    <w:rsid w:val="00504416"/>
    <w:rsid w:val="00984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4FF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84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6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9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2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fond.ru/afm/for-debtors/5perc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ltfond.ru/afm/for-debtors/5perc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tfond.ru/afm/for-debtors/5percent" TargetMode="External"/><Relationship Id="rId5" Type="http://schemas.openxmlformats.org/officeDocument/2006/relationships/hyperlink" Target="http://www.altfond.ru/afm/for-debtors/5percen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3454</Characters>
  <Application>Microsoft Office Word</Application>
  <DocSecurity>0</DocSecurity>
  <Lines>28</Lines>
  <Paragraphs>8</Paragraphs>
  <ScaleCrop>false</ScaleCrop>
  <Company>Microsoft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1</cp:revision>
  <dcterms:created xsi:type="dcterms:W3CDTF">2018-10-11T03:28:00Z</dcterms:created>
  <dcterms:modified xsi:type="dcterms:W3CDTF">2018-10-11T03:28:00Z</dcterms:modified>
</cp:coreProperties>
</file>